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Modèle de Business Plan — Version Visuelle</w:t>
      </w:r>
    </w:p>
    <w:p>
      <w:pPr>
        <w:pStyle w:val="Subtitle"/>
        <w:jc w:val="center"/>
      </w:pPr>
      <w:r>
        <w:t>Marge verticale à droite, tableaux tracés, accents de couleur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LOGO  |  Nom du projet  |  Version &amp; date</w:t>
            </w:r>
          </w:p>
        </w:tc>
      </w:tr>
    </w:tbl>
    <w:p>
      <w:r>
        <w:t xml:space="preserve"> 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2563EB"/>
          <w:left w:val="single" w:sz="12" w:space="0" w:color="2563EB"/>
          <w:bottom w:val="single" w:sz="12" w:space="0" w:color="2563EB"/>
          <w:right w:val="single" w:sz="12" w:space="0" w:color="2563EB"/>
          <w:insideH w:val="single" w:sz="12" w:space="0" w:color="2563EB"/>
          <w:insideV w:val="single" w:sz="12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>
            <w:r>
              <w:rPr>
                <w:b/>
                <w:color w:val="FFFFFF"/>
              </w:rPr>
              <w:t>Comment utiliser ce modèle</w:t>
            </w:r>
          </w:p>
        </w:tc>
      </w:tr>
      <w:tr>
        <w:tc>
          <w:tcPr>
            <w:tcW w:type="dxa" w:w="9405"/>
            <w:shd w:val="clear" w:color="auto" w:fill="E6F7FF"/>
          </w:tcPr>
          <w:p>
            <w:r>
              <w:t>Titres 1/2/3 pour la table des matières. Tableaux tracés + zébrés pour une meilleure lisibilité. La marge verticale bleue à droite apporte une hiérarchie visuelle.</w:t>
            </w:r>
          </w:p>
        </w:tc>
      </w:tr>
    </w:tbl>
    <w:p>
      <w:r>
        <w:br w:type="page"/>
      </w:r>
    </w:p>
    <w:p>
      <w:pPr>
        <w:pStyle w:val="Heading1"/>
      </w:pPr>
      <w:r>
        <w:t>Résumé exécutif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Exposez promesse, marché, modèle économique, chiffres clés et besoins de financement.</w:t>
      </w:r>
    </w:p>
    <w:p/>
    <w:p>
      <w:pPr>
        <w:pStyle w:val="Heading1"/>
      </w:pPr>
      <w:r>
        <w:t>Analyse de marché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Segmentation, taille (TAM/SAM/SOM), tendances, réglementation, cartographie concurrentielle.</w:t>
      </w:r>
    </w:p>
    <w:p/>
    <w:p>
      <w:pPr>
        <w:pStyle w:val="Heading1"/>
      </w:pPr>
      <w:r>
        <w:t>Offre : produits &amp; services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Proposition de valeur, bénéfices clients, différenciation.</w:t>
      </w:r>
    </w:p>
    <w:p/>
    <w:p>
      <w:pPr>
        <w:pStyle w:val="Heading1"/>
      </w:pPr>
      <w:r>
        <w:t>Modèle économique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Revenus, coûts, canaux, partenaires.</w:t>
      </w:r>
    </w:p>
    <w:p/>
    <w:p>
      <w:pPr>
        <w:pStyle w:val="Heading1"/>
      </w:pPr>
      <w:r>
        <w:t>Stratégie marketing &amp; ventes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Cibles, message, canaux, budget, KPIs.</w:t>
      </w:r>
    </w:p>
    <w:p/>
    <w:p>
      <w:pPr>
        <w:pStyle w:val="Heading1"/>
      </w:pPr>
      <w:r>
        <w:t>Opérations &amp; production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Processus, supply chain, qualité, capacités.</w:t>
      </w:r>
    </w:p>
    <w:p/>
    <w:p>
      <w:pPr>
        <w:pStyle w:val="Heading1"/>
      </w:pPr>
      <w:r>
        <w:t>Organisation &amp; RH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Gouvernance, organigramme, compétences, recrutement.</w:t>
      </w:r>
    </w:p>
    <w:p/>
    <w:p>
      <w:pPr>
        <w:pStyle w:val="Heading1"/>
      </w:pPr>
      <w:r>
        <w:t>Plan financier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Hypothèses, P&amp;L, trésorerie, bilan, BFR.</w:t>
      </w:r>
    </w:p>
    <w:p/>
    <w:p>
      <w:pPr>
        <w:pStyle w:val="Heading1"/>
      </w:pPr>
      <w:r>
        <w:t>Risques &amp; plans de contingence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Risques clés et mesures d’atténuation.</w:t>
      </w:r>
    </w:p>
    <w:p/>
    <w:p>
      <w:pPr>
        <w:pStyle w:val="Heading1"/>
      </w:pPr>
      <w:r>
        <w:t>Feuille de route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2563EB"/>
          <w:left w:val="single" w:sz="0" w:space="0" w:color="2563EB"/>
          <w:bottom w:val="single" w:sz="0" w:space="0" w:color="2563EB"/>
          <w:right w:val="single" w:sz="0" w:space="0" w:color="2563EB"/>
          <w:insideH w:val="single" w:sz="0" w:space="0" w:color="2563EB"/>
          <w:insideV w:val="single" w:sz="0" w:space="0" w:color="2563EB"/>
        </w:tblBorders>
      </w:tblPr>
      <w:tblGrid>
        <w:gridCol w:w="9405"/>
      </w:tblGrid>
      <w:tr>
        <w:tc>
          <w:tcPr>
            <w:tcW w:type="dxa" w:w="9405"/>
            <w:shd w:val="clear" w:color="auto" w:fill="2563EB"/>
          </w:tcPr>
          <w:p/>
        </w:tc>
      </w:tr>
    </w:tbl>
    <w:p>
      <w:r>
        <w:t>Jalons 12–24 mois.</w:t>
      </w:r>
    </w:p>
    <w:p/>
    <w:p>
      <w:pPr>
        <w:pStyle w:val="Heading2"/>
      </w:pPr>
      <w:r>
        <w:t>Indicateurs clés (Résumé exécutif)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8" w:space="0" w:color="5A6A85"/>
          <w:left w:val="single" w:sz="8" w:space="0" w:color="5A6A85"/>
          <w:bottom w:val="single" w:sz="8" w:space="0" w:color="5A6A85"/>
          <w:right w:val="single" w:sz="8" w:space="0" w:color="5A6A85"/>
          <w:insideH w:val="single" w:sz="8" w:space="0" w:color="5A6A85"/>
          <w:insideV w:val="single" w:sz="8" w:space="0" w:color="5A6A85"/>
        </w:tblBorders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Année 1</w:t>
            </w:r>
          </w:p>
        </w:tc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Année 2</w:t>
            </w:r>
          </w:p>
        </w:tc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Année 3</w:t>
            </w:r>
          </w:p>
        </w:tc>
      </w:tr>
      <w:tr>
        <w:tc>
          <w:tcPr>
            <w:tcW w:type="dxa" w:w="2351"/>
          </w:tcPr>
          <w:p>
            <w:r>
              <w:t>Chiffre d’affaires (€)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EF2FF"/>
          </w:tcPr>
          <w:p>
            <w:r>
              <w:t>Marge brute (€ / %)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EBITDA (€ / %)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EF2FF"/>
          </w:tcPr>
          <w:p>
            <w:r>
              <w:t>Résultat net (€)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Cash de fin d’année (€)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</w:tbl>
    <w:p/>
    <w:p>
      <w:pPr>
        <w:pStyle w:val="Heading2"/>
      </w:pPr>
      <w:r>
        <w:t>SWOT (Forces, Faiblesses, Opportunités, Menaces)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5A6A85"/>
          <w:left w:val="single" w:sz="12" w:space="0" w:color="5A6A85"/>
          <w:bottom w:val="single" w:sz="12" w:space="0" w:color="5A6A85"/>
          <w:right w:val="single" w:sz="12" w:space="0" w:color="5A6A85"/>
          <w:insideH w:val="single" w:sz="12" w:space="0" w:color="5A6A85"/>
          <w:insideV w:val="single" w:sz="12" w:space="0" w:color="5A6A85"/>
        </w:tblBorders>
      </w:tblPr>
      <w:tblGrid>
        <w:gridCol w:w="3135"/>
        <w:gridCol w:w="3135"/>
        <w:gridCol w:w="3135"/>
      </w:tblGrid>
      <w:tr>
        <w:tc>
          <w:tcPr>
            <w:tcW w:type="dxa" w:w="3135"/>
            <w:shd w:val="clear" w:color="auto" w:fill="0EA5E9"/>
          </w:tcPr>
          <w:p>
            <w:r/>
          </w:p>
        </w:tc>
        <w:tc>
          <w:tcPr>
            <w:tcW w:type="dxa" w:w="3135"/>
            <w:shd w:val="clear" w:color="auto" w:fill="0EA5E9"/>
          </w:tcPr>
          <w:p>
            <w:r>
              <w:t>Interne</w:t>
            </w:r>
          </w:p>
        </w:tc>
        <w:tc>
          <w:tcPr>
            <w:tcW w:type="dxa" w:w="3135"/>
            <w:shd w:val="clear" w:color="auto" w:fill="0EA5E9"/>
          </w:tcPr>
          <w:p>
            <w:r>
              <w:t>Externe</w:t>
            </w:r>
          </w:p>
        </w:tc>
      </w:tr>
      <w:tr>
        <w:tc>
          <w:tcPr>
            <w:tcW w:type="dxa" w:w="3135"/>
            <w:shd w:val="clear" w:color="auto" w:fill="E6F7FF"/>
          </w:tcPr>
          <w:p>
            <w:r>
              <w:t>Forces</w:t>
            </w:r>
          </w:p>
        </w:tc>
        <w:tc>
          <w:tcPr>
            <w:tcW w:type="dxa" w:w="3135"/>
          </w:tcPr>
          <w:p>
            <w:r>
              <w:t>—</w:t>
            </w:r>
          </w:p>
        </w:tc>
        <w:tc>
          <w:tcPr>
            <w:tcW w:type="dxa" w:w="3135"/>
          </w:tcPr>
          <w:p>
            <w:r>
              <w:t>—</w:t>
            </w:r>
          </w:p>
        </w:tc>
      </w:tr>
      <w:tr>
        <w:tc>
          <w:tcPr>
            <w:tcW w:type="dxa" w:w="3135"/>
            <w:shd w:val="clear" w:color="auto" w:fill="E6F7FF"/>
          </w:tcPr>
          <w:p>
            <w:r>
              <w:t>Faiblesses</w:t>
            </w:r>
          </w:p>
        </w:tc>
        <w:tc>
          <w:tcPr>
            <w:tcW w:type="dxa" w:w="3135"/>
          </w:tcPr>
          <w:p>
            <w:r>
              <w:t>—</w:t>
            </w:r>
          </w:p>
        </w:tc>
        <w:tc>
          <w:tcPr>
            <w:tcW w:type="dxa" w:w="3135"/>
          </w:tcPr>
          <w:p>
            <w:r>
              <w:t>—</w:t>
            </w:r>
          </w:p>
        </w:tc>
      </w:tr>
    </w:tbl>
    <w:p/>
    <w:p>
      <w:pPr>
        <w:pStyle w:val="Heading2"/>
      </w:pPr>
      <w:r>
        <w:t>PESTEL (Macro-environnement)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5A6A85"/>
          <w:left w:val="single" w:sz="12" w:space="0" w:color="5A6A85"/>
          <w:bottom w:val="single" w:sz="12" w:space="0" w:color="5A6A85"/>
          <w:right w:val="single" w:sz="12" w:space="0" w:color="5A6A85"/>
          <w:insideH w:val="single" w:sz="12" w:space="0" w:color="5A6A85"/>
          <w:insideV w:val="single" w:sz="12" w:space="0" w:color="5A6A85"/>
        </w:tblBorders>
      </w:tblPr>
      <w:tblGrid>
        <w:gridCol w:w="4702"/>
        <w:gridCol w:w="4702"/>
      </w:tblGrid>
      <w:tr>
        <w:tc>
          <w:tcPr>
            <w:tcW w:type="dxa" w:w="4702"/>
            <w:shd w:val="clear" w:color="auto" w:fill="7C3AED"/>
          </w:tcPr>
          <w:p>
            <w:r>
              <w:t>Dimension</w:t>
            </w:r>
          </w:p>
        </w:tc>
        <w:tc>
          <w:tcPr>
            <w:tcW w:type="dxa" w:w="4702"/>
            <w:shd w:val="clear" w:color="auto" w:fill="7C3AED"/>
          </w:tcPr>
          <w:p>
            <w:r>
              <w:t>Points clés</w:t>
            </w:r>
          </w:p>
        </w:tc>
      </w:tr>
      <w:tr>
        <w:tc>
          <w:tcPr>
            <w:tcW w:type="dxa" w:w="4702"/>
            <w:shd w:val="clear" w:color="auto" w:fill="F3E8FF"/>
          </w:tcPr>
          <w:p>
            <w:r>
              <w:t>Politique / Légal</w:t>
            </w:r>
          </w:p>
        </w:tc>
        <w:tc>
          <w:tcPr>
            <w:tcW w:type="dxa" w:w="4702"/>
          </w:tcPr>
          <w:p>
            <w:r>
              <w:t>—</w:t>
            </w:r>
          </w:p>
        </w:tc>
      </w:tr>
      <w:tr>
        <w:tc>
          <w:tcPr>
            <w:tcW w:type="dxa" w:w="4702"/>
            <w:shd w:val="clear" w:color="auto" w:fill="F3E8FF"/>
            <w:shd w:val="clear" w:color="auto" w:fill="F8F5FF"/>
          </w:tcPr>
          <w:p>
            <w:r>
              <w:t>Économique / Technologique</w:t>
            </w:r>
          </w:p>
        </w:tc>
        <w:tc>
          <w:tcPr>
            <w:tcW w:type="dxa" w:w="4702"/>
            <w:shd w:val="clear" w:color="auto" w:fill="F8F5FF"/>
          </w:tcPr>
          <w:p>
            <w:r>
              <w:t>—</w:t>
            </w:r>
          </w:p>
        </w:tc>
      </w:tr>
      <w:tr>
        <w:tc>
          <w:tcPr>
            <w:tcW w:type="dxa" w:w="4702"/>
            <w:shd w:val="clear" w:color="auto" w:fill="F3E8FF"/>
          </w:tcPr>
          <w:p>
            <w:r>
              <w:t>Socioculturel / Environnemental</w:t>
            </w:r>
          </w:p>
        </w:tc>
        <w:tc>
          <w:tcPr>
            <w:tcW w:type="dxa" w:w="4702"/>
          </w:tcPr>
          <w:p>
            <w:r>
              <w:t>—</w:t>
            </w:r>
          </w:p>
        </w:tc>
      </w:tr>
    </w:tbl>
    <w:p/>
    <w:p>
      <w:pPr>
        <w:pStyle w:val="Heading2"/>
      </w:pPr>
      <w:r>
        <w:t>Business Model Canvas (Synthèse)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5A6A85"/>
          <w:left w:val="single" w:sz="12" w:space="0" w:color="5A6A85"/>
          <w:bottom w:val="single" w:sz="12" w:space="0" w:color="5A6A85"/>
          <w:right w:val="single" w:sz="12" w:space="0" w:color="5A6A85"/>
          <w:insideH w:val="single" w:sz="12" w:space="0" w:color="5A6A85"/>
          <w:insideV w:val="single" w:sz="12" w:space="0" w:color="5A6A85"/>
        </w:tblBorders>
      </w:tblPr>
      <w:tblGrid>
        <w:gridCol w:w="3135"/>
        <w:gridCol w:w="3135"/>
        <w:gridCol w:w="3135"/>
      </w:tblGrid>
      <w:tr>
        <w:tc>
          <w:tcPr>
            <w:tcW w:type="dxa" w:w="3135"/>
            <w:shd w:val="clear" w:color="auto" w:fill="E9FDF3"/>
          </w:tcPr>
          <w:p>
            <w:r>
              <w:rPr>
                <w:b/>
              </w:rPr>
              <w:t>Partenaires clés</w:t>
            </w:r>
          </w:p>
          <w:p>
            <w:r>
              <w:t>—</w:t>
            </w:r>
          </w:p>
        </w:tc>
        <w:tc>
          <w:tcPr>
            <w:tcW w:type="dxa" w:w="3135"/>
          </w:tcPr>
          <w:p>
            <w:r>
              <w:rPr>
                <w:b/>
              </w:rPr>
              <w:t>Activités clés</w:t>
            </w:r>
          </w:p>
          <w:p>
            <w:r>
              <w:t>—</w:t>
            </w:r>
          </w:p>
        </w:tc>
        <w:tc>
          <w:tcPr>
            <w:tcW w:type="dxa" w:w="3135"/>
            <w:shd w:val="clear" w:color="auto" w:fill="E9FDF3"/>
          </w:tcPr>
          <w:p>
            <w:r>
              <w:rPr>
                <w:b/>
              </w:rPr>
              <w:t>Proposition de valeur</w:t>
            </w:r>
          </w:p>
          <w:p>
            <w:r>
              <w:t>—</w:t>
            </w:r>
          </w:p>
        </w:tc>
      </w:tr>
      <w:tr>
        <w:tc>
          <w:tcPr>
            <w:tcW w:type="dxa" w:w="3135"/>
          </w:tcPr>
          <w:p>
            <w:r>
              <w:rPr>
                <w:b/>
              </w:rPr>
              <w:t>Ressources clés</w:t>
            </w:r>
          </w:p>
          <w:p>
            <w:r>
              <w:t>—</w:t>
            </w:r>
          </w:p>
        </w:tc>
        <w:tc>
          <w:tcPr>
            <w:tcW w:type="dxa" w:w="3135"/>
            <w:shd w:val="clear" w:color="auto" w:fill="E9FDF3"/>
          </w:tcPr>
          <w:p>
            <w:r>
              <w:rPr>
                <w:b/>
              </w:rPr>
              <w:t>Relations clients</w:t>
            </w:r>
          </w:p>
          <w:p>
            <w:r>
              <w:t>—</w:t>
            </w:r>
          </w:p>
        </w:tc>
        <w:tc>
          <w:tcPr>
            <w:tcW w:type="dxa" w:w="3135"/>
          </w:tcPr>
          <w:p>
            <w:r>
              <w:rPr>
                <w:b/>
              </w:rPr>
              <w:t>Segments de clientèle</w:t>
            </w:r>
          </w:p>
          <w:p>
            <w:r>
              <w:t>—</w:t>
            </w:r>
          </w:p>
        </w:tc>
      </w:tr>
      <w:tr>
        <w:tc>
          <w:tcPr>
            <w:tcW w:type="dxa" w:w="3135"/>
            <w:shd w:val="clear" w:color="auto" w:fill="E9FDF3"/>
          </w:tcPr>
          <w:p>
            <w:r>
              <w:rPr>
                <w:b/>
              </w:rPr>
              <w:t>Canaux</w:t>
            </w:r>
          </w:p>
          <w:p>
            <w:r>
              <w:t>—</w:t>
            </w:r>
          </w:p>
        </w:tc>
        <w:tc>
          <w:tcPr>
            <w:tcW w:type="dxa" w:w="3135"/>
          </w:tcPr>
          <w:p>
            <w:r>
              <w:rPr>
                <w:b/>
              </w:rPr>
              <w:t>Structure de coûts</w:t>
            </w:r>
          </w:p>
          <w:p>
            <w:r>
              <w:t>—</w:t>
            </w:r>
          </w:p>
        </w:tc>
        <w:tc>
          <w:tcPr>
            <w:tcW w:type="dxa" w:w="3135"/>
            <w:shd w:val="clear" w:color="auto" w:fill="E9FDF3"/>
          </w:tcPr>
          <w:p>
            <w:r>
              <w:rPr>
                <w:b/>
              </w:rPr>
              <w:t>Flux de revenus</w:t>
            </w:r>
          </w:p>
          <w:p>
            <w:r>
              <w:t>—</w:t>
            </w:r>
          </w:p>
        </w:tc>
      </w:tr>
    </w:tbl>
    <w:p/>
    <w:p>
      <w:pPr>
        <w:pStyle w:val="Heading2"/>
      </w:pPr>
      <w:r>
        <w:t>Concurrence (Benchmark)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1881"/>
        <w:gridCol w:w="1881"/>
        <w:gridCol w:w="1881"/>
        <w:gridCol w:w="1881"/>
        <w:gridCol w:w="1881"/>
      </w:tblGrid>
      <w:tr>
        <w:tc>
          <w:tcPr>
            <w:tcW w:type="dxa" w:w="188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Concurrent</w:t>
            </w:r>
          </w:p>
        </w:tc>
        <w:tc>
          <w:tcPr>
            <w:tcW w:type="dxa" w:w="188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Segment</w:t>
            </w:r>
          </w:p>
        </w:tc>
        <w:tc>
          <w:tcPr>
            <w:tcW w:type="dxa" w:w="188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Prix</w:t>
            </w:r>
          </w:p>
        </w:tc>
        <w:tc>
          <w:tcPr>
            <w:tcW w:type="dxa" w:w="188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Forces</w:t>
            </w:r>
          </w:p>
        </w:tc>
        <w:tc>
          <w:tcPr>
            <w:tcW w:type="dxa" w:w="188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Faiblesses</w:t>
            </w:r>
          </w:p>
        </w:tc>
      </w:tr>
      <w:tr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  <w:tc>
          <w:tcPr>
            <w:tcW w:type="dxa" w:w="1881"/>
            <w:shd w:val="clear" w:color="auto" w:fill="E6F7FF"/>
          </w:tcPr>
          <w:p>
            <w:r>
              <w:t>—</w:t>
            </w:r>
          </w:p>
        </w:tc>
      </w:tr>
    </w:tbl>
    <w:p/>
    <w:p>
      <w:pPr>
        <w:pStyle w:val="Heading2"/>
      </w:pPr>
      <w:r>
        <w:t>Modèle économique (Revenus &amp; Coûts)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Flux de revenus</w:t>
            </w:r>
          </w:p>
        </w:tc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Prix / Unité</w:t>
            </w:r>
          </w:p>
        </w:tc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Coûts variables</w:t>
            </w:r>
          </w:p>
        </w:tc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Coûts fixes</w:t>
            </w:r>
          </w:p>
        </w:tc>
      </w:tr>
      <w:tr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</w:tbl>
    <w:p/>
    <w:p>
      <w:pPr>
        <w:pStyle w:val="Heading2"/>
      </w:pPr>
      <w:r>
        <w:t>Plan Marketing &amp; Ventes (Funnel)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1881"/>
        <w:gridCol w:w="1881"/>
        <w:gridCol w:w="1881"/>
        <w:gridCol w:w="1881"/>
        <w:gridCol w:w="1881"/>
      </w:tblGrid>
      <w:tr>
        <w:tc>
          <w:tcPr>
            <w:tcW w:type="dxa" w:w="1881"/>
            <w:shd w:val="clear" w:color="auto" w:fill="7C3AED"/>
          </w:tcPr>
          <w:p>
            <w:pPr>
              <w:jc w:val="center"/>
            </w:pPr>
            <w:r>
              <w:rPr>
                <w:b/>
                <w:color w:val="FFFFFF"/>
              </w:rPr>
              <w:t>Étape</w:t>
            </w:r>
          </w:p>
        </w:tc>
        <w:tc>
          <w:tcPr>
            <w:tcW w:type="dxa" w:w="1881"/>
            <w:shd w:val="clear" w:color="auto" w:fill="7C3AED"/>
          </w:tcPr>
          <w:p>
            <w:pPr>
              <w:jc w:val="center"/>
            </w:pPr>
            <w:r>
              <w:rPr>
                <w:b/>
                <w:color w:val="FFFFFF"/>
              </w:rPr>
              <w:t>Objectif</w:t>
            </w:r>
          </w:p>
        </w:tc>
        <w:tc>
          <w:tcPr>
            <w:tcW w:type="dxa" w:w="1881"/>
            <w:shd w:val="clear" w:color="auto" w:fill="7C3AED"/>
          </w:tcPr>
          <w:p>
            <w:pPr>
              <w:jc w:val="center"/>
            </w:pPr>
            <w:r>
              <w:rPr>
                <w:b/>
                <w:color w:val="FFFFFF"/>
              </w:rPr>
              <w:t>Actions</w:t>
            </w:r>
          </w:p>
        </w:tc>
        <w:tc>
          <w:tcPr>
            <w:tcW w:type="dxa" w:w="1881"/>
            <w:shd w:val="clear" w:color="auto" w:fill="7C3AED"/>
          </w:tcPr>
          <w:p>
            <w:pPr>
              <w:jc w:val="center"/>
            </w:pPr>
            <w:r>
              <w:rPr>
                <w:b/>
                <w:color w:val="FFFFFF"/>
              </w:rPr>
              <w:t>Budget (€)</w:t>
            </w:r>
          </w:p>
        </w:tc>
        <w:tc>
          <w:tcPr>
            <w:tcW w:type="dxa" w:w="1881"/>
            <w:shd w:val="clear" w:color="auto" w:fill="7C3AED"/>
          </w:tcPr>
          <w:p>
            <w:pPr>
              <w:jc w:val="center"/>
            </w:pPr>
            <w:r>
              <w:rPr>
                <w:b/>
                <w:color w:val="FFFFFF"/>
              </w:rPr>
              <w:t>KPI cible</w:t>
            </w:r>
          </w:p>
        </w:tc>
      </w:tr>
      <w:tr>
        <w:tc>
          <w:tcPr>
            <w:tcW w:type="dxa" w:w="1881"/>
          </w:tcPr>
          <w:p>
            <w:r>
              <w:t>Notoriété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F3E8FF"/>
          </w:tcPr>
          <w:p>
            <w:r>
              <w:t>Considération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</w:tr>
      <w:tr>
        <w:tc>
          <w:tcPr>
            <w:tcW w:type="dxa" w:w="1881"/>
          </w:tcPr>
          <w:p>
            <w:r>
              <w:t>Conversion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F3E8FF"/>
          </w:tcPr>
          <w:p>
            <w:r>
              <w:t>Rétention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  <w:tc>
          <w:tcPr>
            <w:tcW w:type="dxa" w:w="1881"/>
            <w:shd w:val="clear" w:color="auto" w:fill="F3E8FF"/>
          </w:tcPr>
          <w:p>
            <w:r>
              <w:t>—</w:t>
            </w:r>
          </w:p>
        </w:tc>
      </w:tr>
      <w:tr>
        <w:tc>
          <w:tcPr>
            <w:tcW w:type="dxa" w:w="1881"/>
          </w:tcPr>
          <w:p>
            <w:r>
              <w:t>Recommandation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</w:tbl>
    <w:p/>
    <w:p>
      <w:pPr>
        <w:pStyle w:val="Heading2"/>
      </w:pPr>
      <w:r>
        <w:t>Opérations (Processus clés)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1881"/>
        <w:gridCol w:w="1881"/>
        <w:gridCol w:w="1881"/>
        <w:gridCol w:w="1881"/>
        <w:gridCol w:w="1881"/>
      </w:tblGrid>
      <w:tr>
        <w:tc>
          <w:tcPr>
            <w:tcW w:type="dxa" w:w="1881"/>
            <w:shd w:val="clear" w:color="auto" w:fill="059669"/>
          </w:tcPr>
          <w:p>
            <w:pPr>
              <w:jc w:val="center"/>
            </w:pPr>
            <w:r>
              <w:rPr>
                <w:b/>
                <w:color w:val="FFFFFF"/>
              </w:rPr>
              <w:t>Processus</w:t>
            </w:r>
          </w:p>
        </w:tc>
        <w:tc>
          <w:tcPr>
            <w:tcW w:type="dxa" w:w="1881"/>
            <w:shd w:val="clear" w:color="auto" w:fill="059669"/>
          </w:tcPr>
          <w:p>
            <w:pPr>
              <w:jc w:val="center"/>
            </w:pPr>
            <w:r>
              <w:rPr>
                <w:b/>
                <w:color w:val="FFFFFF"/>
              </w:rPr>
              <w:t>Ressources</w:t>
            </w:r>
          </w:p>
        </w:tc>
        <w:tc>
          <w:tcPr>
            <w:tcW w:type="dxa" w:w="1881"/>
            <w:shd w:val="clear" w:color="auto" w:fill="059669"/>
          </w:tcPr>
          <w:p>
            <w:pPr>
              <w:jc w:val="center"/>
            </w:pPr>
            <w:r>
              <w:rPr>
                <w:b/>
                <w:color w:val="FFFFFF"/>
              </w:rPr>
              <w:t>Coûts</w:t>
            </w:r>
          </w:p>
        </w:tc>
        <w:tc>
          <w:tcPr>
            <w:tcW w:type="dxa" w:w="1881"/>
            <w:shd w:val="clear" w:color="auto" w:fill="059669"/>
          </w:tcPr>
          <w:p>
            <w:pPr>
              <w:jc w:val="center"/>
            </w:pPr>
            <w:r>
              <w:rPr>
                <w:b/>
                <w:color w:val="FFFFFF"/>
              </w:rPr>
              <w:t>Risques</w:t>
            </w:r>
          </w:p>
        </w:tc>
        <w:tc>
          <w:tcPr>
            <w:tcW w:type="dxa" w:w="1881"/>
            <w:shd w:val="clear" w:color="auto" w:fill="059669"/>
          </w:tcPr>
          <w:p>
            <w:pPr>
              <w:jc w:val="center"/>
            </w:pPr>
            <w:r>
              <w:rPr>
                <w:b/>
                <w:color w:val="FFFFFF"/>
              </w:rPr>
              <w:t>KPI</w:t>
            </w:r>
          </w:p>
        </w:tc>
      </w:tr>
      <w:tr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</w:tr>
      <w:tr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</w:tr>
      <w:tr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  <w:tc>
          <w:tcPr>
            <w:tcW w:type="dxa" w:w="1881"/>
            <w:shd w:val="clear" w:color="auto" w:fill="E9FDF3"/>
          </w:tcPr>
          <w:p>
            <w:r>
              <w:t>—</w:t>
            </w:r>
          </w:p>
        </w:tc>
      </w:tr>
    </w:tbl>
    <w:p/>
    <w:p>
      <w:pPr>
        <w:pStyle w:val="Heading2"/>
      </w:pPr>
      <w:r>
        <w:t>Organisation &amp; RH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EA580C"/>
          </w:tcPr>
          <w:p>
            <w:pPr>
              <w:jc w:val="center"/>
            </w:pPr>
            <w:r>
              <w:rPr>
                <w:b/>
                <w:color w:val="FFFFFF"/>
              </w:rPr>
              <w:t>Rôle</w:t>
            </w:r>
          </w:p>
        </w:tc>
        <w:tc>
          <w:tcPr>
            <w:tcW w:type="dxa" w:w="2351"/>
            <w:shd w:val="clear" w:color="auto" w:fill="EA580C"/>
          </w:tcPr>
          <w:p>
            <w:pPr>
              <w:jc w:val="center"/>
            </w:pPr>
            <w:r>
              <w:rPr>
                <w:b/>
                <w:color w:val="FFFFFF"/>
              </w:rPr>
              <w:t>Responsabilités</w:t>
            </w:r>
          </w:p>
        </w:tc>
        <w:tc>
          <w:tcPr>
            <w:tcW w:type="dxa" w:w="2351"/>
            <w:shd w:val="clear" w:color="auto" w:fill="EA580C"/>
          </w:tcPr>
          <w:p>
            <w:pPr>
              <w:jc w:val="center"/>
            </w:pPr>
            <w:r>
              <w:rPr>
                <w:b/>
                <w:color w:val="FFFFFF"/>
              </w:rPr>
              <w:t>Compétences clés</w:t>
            </w:r>
          </w:p>
        </w:tc>
        <w:tc>
          <w:tcPr>
            <w:tcW w:type="dxa" w:w="2351"/>
            <w:shd w:val="clear" w:color="auto" w:fill="EA580C"/>
          </w:tcPr>
          <w:p>
            <w:pPr>
              <w:jc w:val="center"/>
            </w:pPr>
            <w:r>
              <w:rPr>
                <w:b/>
                <w:color w:val="FFFFFF"/>
              </w:rPr>
              <w:t>Mode de rémunération</w:t>
            </w:r>
          </w:p>
        </w:tc>
      </w:tr>
      <w:tr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  <w:tc>
          <w:tcPr>
            <w:tcW w:type="dxa" w:w="2351"/>
            <w:shd w:val="clear" w:color="auto" w:fill="FFF1E6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</w:tbl>
    <w:p>
      <w:r>
        <w:br w:type="page"/>
      </w:r>
    </w:p>
    <w:p>
      <w:pPr>
        <w:pStyle w:val="Heading2"/>
      </w:pPr>
      <w:r>
        <w:t>Hypothèses financières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4702"/>
        <w:gridCol w:w="4702"/>
      </w:tblGrid>
      <w:tr>
        <w:tc>
          <w:tcPr>
            <w:tcW w:type="dxa" w:w="4702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Hypothèse</w:t>
            </w:r>
          </w:p>
        </w:tc>
        <w:tc>
          <w:tcPr>
            <w:tcW w:type="dxa" w:w="4702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Valeur</w:t>
            </w:r>
          </w:p>
        </w:tc>
      </w:tr>
      <w:tr>
        <w:tc>
          <w:tcPr>
            <w:tcW w:type="dxa" w:w="4702"/>
          </w:tcPr>
          <w:p>
            <w:r>
              <w:t>Croissance CA</w:t>
            </w:r>
          </w:p>
        </w:tc>
        <w:tc>
          <w:tcPr>
            <w:tcW w:type="dxa" w:w="4702"/>
          </w:tcPr>
          <w:p>
            <w:r>
              <w:t>[% / trimestre]</w:t>
            </w:r>
          </w:p>
        </w:tc>
      </w:tr>
      <w:tr>
        <w:tc>
          <w:tcPr>
            <w:tcW w:type="dxa" w:w="4702"/>
            <w:shd w:val="clear" w:color="auto" w:fill="EEF2FF"/>
          </w:tcPr>
          <w:p>
            <w:r>
              <w:t>Taux de marge brute</w:t>
            </w:r>
          </w:p>
        </w:tc>
        <w:tc>
          <w:tcPr>
            <w:tcW w:type="dxa" w:w="4702"/>
            <w:shd w:val="clear" w:color="auto" w:fill="EEF2FF"/>
          </w:tcPr>
          <w:p>
            <w:r>
              <w:t>[%]</w:t>
            </w:r>
          </w:p>
        </w:tc>
      </w:tr>
      <w:tr>
        <w:tc>
          <w:tcPr>
            <w:tcW w:type="dxa" w:w="4702"/>
          </w:tcPr>
          <w:p>
            <w:r>
              <w:t>Churn / Attrition</w:t>
            </w:r>
          </w:p>
        </w:tc>
        <w:tc>
          <w:tcPr>
            <w:tcW w:type="dxa" w:w="4702"/>
          </w:tcPr>
          <w:p>
            <w:r>
              <w:t>[%]</w:t>
            </w:r>
          </w:p>
        </w:tc>
      </w:tr>
      <w:tr>
        <w:tc>
          <w:tcPr>
            <w:tcW w:type="dxa" w:w="4702"/>
            <w:shd w:val="clear" w:color="auto" w:fill="EEF2FF"/>
          </w:tcPr>
          <w:p>
            <w:r>
              <w:t>CAC (Coût d’acquisition client)</w:t>
            </w:r>
          </w:p>
        </w:tc>
        <w:tc>
          <w:tcPr>
            <w:tcW w:type="dxa" w:w="4702"/>
            <w:shd w:val="clear" w:color="auto" w:fill="EEF2FF"/>
          </w:tcPr>
          <w:p>
            <w:r>
              <w:t>[€]</w:t>
            </w:r>
          </w:p>
        </w:tc>
      </w:tr>
      <w:tr>
        <w:tc>
          <w:tcPr>
            <w:tcW w:type="dxa" w:w="4702"/>
          </w:tcPr>
          <w:p>
            <w:r>
              <w:t>LTV (Valeur vie client)</w:t>
            </w:r>
          </w:p>
        </w:tc>
        <w:tc>
          <w:tcPr>
            <w:tcW w:type="dxa" w:w="4702"/>
          </w:tcPr>
          <w:p>
            <w:r>
              <w:t>[€]</w:t>
            </w:r>
          </w:p>
        </w:tc>
      </w:tr>
      <w:tr>
        <w:tc>
          <w:tcPr>
            <w:tcW w:type="dxa" w:w="4702"/>
            <w:shd w:val="clear" w:color="auto" w:fill="EEF2FF"/>
          </w:tcPr>
          <w:p>
            <w:r>
              <w:t>BFR (Besoin en fonds de roulement)</w:t>
            </w:r>
          </w:p>
        </w:tc>
        <w:tc>
          <w:tcPr>
            <w:tcW w:type="dxa" w:w="4702"/>
            <w:shd w:val="clear" w:color="auto" w:fill="EEF2FF"/>
          </w:tcPr>
          <w:p>
            <w:r>
              <w:t>[€ / % CA]</w:t>
            </w:r>
          </w:p>
        </w:tc>
      </w:tr>
    </w:tbl>
    <w:p/>
    <w:p>
      <w:pPr>
        <w:pStyle w:val="Heading2"/>
      </w:pPr>
      <w:r>
        <w:t>Compte de résultat prévisionnel (3 ans)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</w:r>
          </w:p>
        </w:tc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Année 1</w:t>
            </w:r>
          </w:p>
        </w:tc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Année 2</w:t>
            </w:r>
          </w:p>
        </w:tc>
        <w:tc>
          <w:tcPr>
            <w:tcW w:type="dxa" w:w="235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Année 3</w:t>
            </w:r>
          </w:p>
        </w:tc>
      </w:tr>
      <w:tr>
        <w:tc>
          <w:tcPr>
            <w:tcW w:type="dxa" w:w="2351"/>
          </w:tcPr>
          <w:p>
            <w:r>
              <w:t>Chiffre d’affaires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EF2FF"/>
          </w:tcPr>
          <w:p>
            <w:r>
              <w:t>Coût des ventes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Marge brute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EF2FF"/>
          </w:tcPr>
          <w:p>
            <w:r>
              <w:t>Charges d’exploitation (OPEX)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EBITDA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EF2FF"/>
          </w:tcPr>
          <w:p>
            <w:r>
              <w:t>Amortissements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Résultat d’exploitation (EBIT)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EF2FF"/>
          </w:tcPr>
          <w:p>
            <w:r>
              <w:t>Impôts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  <w:tc>
          <w:tcPr>
            <w:tcW w:type="dxa" w:w="2351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Résultat net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</w:tbl>
    <w:p/>
    <w:p>
      <w:pPr>
        <w:pStyle w:val="Heading2"/>
      </w:pPr>
      <w:r>
        <w:t>Plan de trésorerie (12 mois)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Mois</w:t>
            </w:r>
          </w:p>
        </w:tc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Encaissements (€)</w:t>
            </w:r>
          </w:p>
        </w:tc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Décaissements (€)</w:t>
            </w:r>
          </w:p>
        </w:tc>
        <w:tc>
          <w:tcPr>
            <w:tcW w:type="dxa" w:w="2351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</w:rPr>
              <w:t>Solde net (€)</w:t>
            </w:r>
          </w:p>
        </w:tc>
      </w:tr>
      <w:tr>
        <w:tc>
          <w:tcPr>
            <w:tcW w:type="dxa" w:w="2351"/>
          </w:tcPr>
          <w:p>
            <w:r>
              <w:t>Janvier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Février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Mars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Avril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Mai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Juin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Juillet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Août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Septembre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Octobre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  <w:tr>
        <w:tc>
          <w:tcPr>
            <w:tcW w:type="dxa" w:w="2351"/>
          </w:tcPr>
          <w:p>
            <w:r>
              <w:t>Novembre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  <w:tc>
          <w:tcPr>
            <w:tcW w:type="dxa" w:w="2351"/>
          </w:tcPr>
          <w:p>
            <w:r>
              <w:t>—</w:t>
            </w:r>
          </w:p>
        </w:tc>
      </w:tr>
      <w:tr>
        <w:tc>
          <w:tcPr>
            <w:tcW w:type="dxa" w:w="2351"/>
            <w:shd w:val="clear" w:color="auto" w:fill="E6F7FF"/>
          </w:tcPr>
          <w:p>
            <w:r>
              <w:t>Décembre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  <w:tc>
          <w:tcPr>
            <w:tcW w:type="dxa" w:w="2351"/>
            <w:shd w:val="clear" w:color="auto" w:fill="E6F7FF"/>
          </w:tcPr>
          <w:p>
            <w:r>
              <w:t>—</w:t>
            </w:r>
          </w:p>
        </w:tc>
      </w:tr>
    </w:tbl>
    <w:p>
      <w:r>
        <w:t>Astuce : ajoutez une ligne « Cumul de trésorerie » si besoin.</w:t>
      </w:r>
    </w:p>
    <w:p/>
    <w:p>
      <w:pPr>
        <w:pStyle w:val="Heading2"/>
      </w:pPr>
      <w:r>
        <w:t>Seuil de rentabilité (Point mort)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4702"/>
        <w:gridCol w:w="4702"/>
      </w:tblGrid>
      <w:tr>
        <w:tc>
          <w:tcPr>
            <w:tcW w:type="dxa" w:w="4702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4702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Valeur</w:t>
            </w:r>
          </w:p>
        </w:tc>
      </w:tr>
      <w:tr>
        <w:tc>
          <w:tcPr>
            <w:tcW w:type="dxa" w:w="4702"/>
          </w:tcPr>
          <w:p>
            <w:r>
              <w:t>Coûts fixes annuels (€)</w:t>
            </w:r>
          </w:p>
        </w:tc>
        <w:tc>
          <w:tcPr>
            <w:tcW w:type="dxa" w:w="4702"/>
          </w:tcPr>
          <w:p>
            <w:r>
              <w:t>—</w:t>
            </w:r>
          </w:p>
        </w:tc>
      </w:tr>
      <w:tr>
        <w:tc>
          <w:tcPr>
            <w:tcW w:type="dxa" w:w="4702"/>
            <w:shd w:val="clear" w:color="auto" w:fill="EEF2FF"/>
          </w:tcPr>
          <w:p>
            <w:r>
              <w:t>Marge sur coût variable (%)</w:t>
            </w:r>
          </w:p>
        </w:tc>
        <w:tc>
          <w:tcPr>
            <w:tcW w:type="dxa" w:w="4702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4702"/>
          </w:tcPr>
          <w:p>
            <w:r>
              <w:t>Seuil de rentabilité (CA €)</w:t>
            </w:r>
          </w:p>
        </w:tc>
        <w:tc>
          <w:tcPr>
            <w:tcW w:type="dxa" w:w="4702"/>
          </w:tcPr>
          <w:p>
            <w:r>
              <w:t>—</w:t>
            </w:r>
          </w:p>
        </w:tc>
      </w:tr>
      <w:tr>
        <w:tc>
          <w:tcPr>
            <w:tcW w:type="dxa" w:w="4702"/>
            <w:shd w:val="clear" w:color="auto" w:fill="EEF2FF"/>
          </w:tcPr>
          <w:p>
            <w:r>
              <w:t>Seuil en unités (si pertinent)</w:t>
            </w:r>
          </w:p>
        </w:tc>
        <w:tc>
          <w:tcPr>
            <w:tcW w:type="dxa" w:w="4702"/>
            <w:shd w:val="clear" w:color="auto" w:fill="EEF2FF"/>
          </w:tcPr>
          <w:p>
            <w:r>
              <w:t>—</w:t>
            </w:r>
          </w:p>
        </w:tc>
      </w:tr>
    </w:tbl>
    <w:p/>
    <w:p>
      <w:pPr>
        <w:pStyle w:val="Heading2"/>
      </w:pPr>
      <w:r>
        <w:t>Registre des risques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1567"/>
        <w:gridCol w:w="1567"/>
        <w:gridCol w:w="1567"/>
        <w:gridCol w:w="1567"/>
        <w:gridCol w:w="1567"/>
        <w:gridCol w:w="1567"/>
      </w:tblGrid>
      <w:tr>
        <w:tc>
          <w:tcPr>
            <w:tcW w:type="dxa" w:w="1567"/>
            <w:shd w:val="clear" w:color="auto" w:fill="DC2626"/>
          </w:tcPr>
          <w:p>
            <w:pPr>
              <w:jc w:val="center"/>
            </w:pPr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1567"/>
            <w:shd w:val="clear" w:color="auto" w:fill="DC2626"/>
          </w:tcPr>
          <w:p>
            <w:pPr>
              <w:jc w:val="center"/>
            </w:pPr>
            <w:r>
              <w:rPr>
                <w:b/>
                <w:color w:val="FFFFFF"/>
              </w:rPr>
              <w:t>Probabilité</w:t>
            </w:r>
          </w:p>
        </w:tc>
        <w:tc>
          <w:tcPr>
            <w:tcW w:type="dxa" w:w="1567"/>
            <w:shd w:val="clear" w:color="auto" w:fill="DC2626"/>
          </w:tcPr>
          <w:p>
            <w:pPr>
              <w:jc w:val="center"/>
            </w:pPr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1567"/>
            <w:shd w:val="clear" w:color="auto" w:fill="DC2626"/>
          </w:tcPr>
          <w:p>
            <w:pPr>
              <w:jc w:val="center"/>
            </w:pPr>
            <w:r>
              <w:rPr>
                <w:b/>
                <w:color w:val="FFFFFF"/>
              </w:rPr>
              <w:t>Prévention</w:t>
            </w:r>
          </w:p>
        </w:tc>
        <w:tc>
          <w:tcPr>
            <w:tcW w:type="dxa" w:w="1567"/>
            <w:shd w:val="clear" w:color="auto" w:fill="DC2626"/>
          </w:tcPr>
          <w:p>
            <w:pPr>
              <w:jc w:val="center"/>
            </w:pPr>
            <w:r>
              <w:rPr>
                <w:b/>
                <w:color w:val="FFFFFF"/>
              </w:rPr>
              <w:t>Plan B</w:t>
            </w:r>
          </w:p>
        </w:tc>
        <w:tc>
          <w:tcPr>
            <w:tcW w:type="dxa" w:w="1567"/>
            <w:shd w:val="clear" w:color="auto" w:fill="DC2626"/>
          </w:tcPr>
          <w:p>
            <w:pPr>
              <w:jc w:val="center"/>
            </w:pPr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</w:tr>
      <w:tr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</w:tr>
      <w:tr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</w:tr>
      <w:tr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</w:tr>
      <w:tr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</w:tr>
      <w:tr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  <w:tc>
          <w:tcPr>
            <w:tcW w:type="dxa" w:w="1567"/>
            <w:shd w:val="clear" w:color="auto" w:fill="FFECEC"/>
          </w:tcPr>
          <w:p>
            <w:r>
              <w:t>—</w:t>
            </w:r>
          </w:p>
        </w:tc>
      </w:tr>
      <w:tr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  <w:tc>
          <w:tcPr>
            <w:tcW w:type="dxa" w:w="1567"/>
          </w:tcPr>
          <w:p>
            <w:r>
              <w:t>—</w:t>
            </w:r>
          </w:p>
        </w:tc>
      </w:tr>
    </w:tbl>
    <w:p/>
    <w:p>
      <w:pPr>
        <w:pStyle w:val="Heading2"/>
      </w:pPr>
      <w:r>
        <w:t>Feuille de route (12–24 mois)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9" w:space="0" w:color="5A6A85"/>
          <w:left w:val="single" w:sz="9" w:space="0" w:color="5A6A85"/>
          <w:bottom w:val="single" w:sz="9" w:space="0" w:color="5A6A85"/>
          <w:right w:val="single" w:sz="9" w:space="0" w:color="5A6A85"/>
          <w:insideH w:val="single" w:sz="9" w:space="0" w:color="5A6A85"/>
          <w:insideV w:val="single" w:sz="9" w:space="0" w:color="5A6A85"/>
        </w:tblBorders>
      </w:tblPr>
      <w:tblGrid>
        <w:gridCol w:w="1881"/>
        <w:gridCol w:w="1881"/>
        <w:gridCol w:w="1881"/>
        <w:gridCol w:w="1881"/>
        <w:gridCol w:w="1881"/>
      </w:tblGrid>
      <w:tr>
        <w:tc>
          <w:tcPr>
            <w:tcW w:type="dxa" w:w="188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188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Objectif</w:t>
            </w:r>
          </w:p>
        </w:tc>
        <w:tc>
          <w:tcPr>
            <w:tcW w:type="dxa" w:w="188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Actions clés</w:t>
            </w:r>
          </w:p>
        </w:tc>
        <w:tc>
          <w:tcPr>
            <w:tcW w:type="dxa" w:w="188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881"/>
            <w:shd w:val="clear" w:color="auto" w:fill="2563EB"/>
          </w:tcPr>
          <w:p>
            <w:pPr>
              <w:jc w:val="center"/>
            </w:pPr>
            <w:r>
              <w:rPr>
                <w:b/>
                <w:color w:val="FFFFFF"/>
              </w:rPr>
              <w:t>KPI/Jalon</w:t>
            </w:r>
          </w:p>
        </w:tc>
      </w:tr>
      <w:tr>
        <w:tc>
          <w:tcPr>
            <w:tcW w:type="dxa" w:w="1881"/>
          </w:tcPr>
          <w:p>
            <w:r>
              <w:t>T1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EEF2FF"/>
          </w:tcPr>
          <w:p>
            <w:r>
              <w:t>T2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</w:tr>
      <w:tr>
        <w:tc>
          <w:tcPr>
            <w:tcW w:type="dxa" w:w="1881"/>
          </w:tcPr>
          <w:p>
            <w:r>
              <w:t>T3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  <w:tc>
          <w:tcPr>
            <w:tcW w:type="dxa" w:w="1881"/>
          </w:tcPr>
          <w:p>
            <w:r>
              <w:t>—</w:t>
            </w:r>
          </w:p>
        </w:tc>
      </w:tr>
      <w:tr>
        <w:tc>
          <w:tcPr>
            <w:tcW w:type="dxa" w:w="1881"/>
            <w:shd w:val="clear" w:color="auto" w:fill="EEF2FF"/>
          </w:tcPr>
          <w:p>
            <w:r>
              <w:t>T4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  <w:tc>
          <w:tcPr>
            <w:tcW w:type="dxa" w:w="1881"/>
            <w:shd w:val="clear" w:color="auto" w:fill="EEF2FF"/>
          </w:tcPr>
          <w:p>
            <w:r>
              <w:t>—</w:t>
            </w:r>
          </w:p>
        </w:tc>
      </w:tr>
    </w:tbl>
    <w:sectPr w:rsidR="00FC693F" w:rsidRPr="0006063C" w:rsidSect="00034616">
      <w:pgSz w:w="12240" w:h="15840"/>
      <w:pgMar w:top="1134" w:right="1701" w:bottom="1134" w:left="1134" w:header="720" w:footer="720" w:gutter="0"/>
      <w:cols w:space="720"/>
      <w:docGrid w:linePitch="360"/>
      <w:pgBorders w:offsetFrom="page">
        <w:right w:val="single" w:sz="20" w:space="8" w:color="2563EB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