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34" w:name="X9687ea2557ee31f0b03ae7cdaba209bfb4fa052"/>
    <w:p>
      <w:pPr>
        <w:pStyle w:val="Heading2"/>
      </w:pPr>
      <w:r>
        <w:t xml:space="preserve">📂 Modèle de Dossier Professionnel – Ingénieur d’Affaires</w:t>
      </w:r>
    </w:p>
    <w:bookmarkStart w:id="20" w:name="page-de-garde"/>
    <w:p>
      <w:pPr>
        <w:pStyle w:val="Heading3"/>
      </w:pPr>
      <w:r>
        <w:t xml:space="preserve">Page de garde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Nom, Prénom :</w:t>
      </w:r>
      <w:r>
        <w:t xml:space="preserve"> </w:t>
      </w:r>
      <w:r>
        <w:t xml:space="preserve">………………………………….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Titre visé :</w:t>
      </w:r>
      <w:r>
        <w:t xml:space="preserve"> </w:t>
      </w:r>
      <w:r>
        <w:t xml:space="preserve">Ingénieur d’Affaires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Contexte :</w:t>
      </w:r>
      <w:r>
        <w:t xml:space="preserve"> </w:t>
      </w:r>
      <w:r>
        <w:t xml:space="preserve">(VAE, Recrutement, Mobilité interne, Évaluation annuelle…)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Coordonnées :</w:t>
      </w:r>
      <w:r>
        <w:t xml:space="preserve"> </w:t>
      </w:r>
      <w:r>
        <w:t xml:space="preserve">………………………………….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Date :</w:t>
      </w:r>
      <w:r>
        <w:t xml:space="preserve"> </w:t>
      </w:r>
      <w:r>
        <w:t xml:space="preserve">………………………………….</w:t>
      </w:r>
    </w:p>
    <w:p>
      <w:r>
        <w:pict>
          <v:rect style="width:0;height:1.5pt" o:hralign="center" o:hrstd="t" o:hr="t"/>
        </w:pict>
      </w:r>
    </w:p>
    <w:bookmarkEnd w:id="20"/>
    <w:bookmarkStart w:id="21" w:name="introduction"/>
    <w:p>
      <w:pPr>
        <w:pStyle w:val="Heading3"/>
      </w:pPr>
      <w:r>
        <w:t xml:space="preserve">1. Introduction</w:t>
      </w:r>
    </w:p>
    <w:p>
      <w:pPr>
        <w:pStyle w:val="FirstParagraph"/>
      </w:pPr>
      <w:r>
        <w:t xml:space="preserve">Présentez en quelques lignes votre parcours professionnel et vos objectifs (5 à 10 lignes).</w:t>
      </w:r>
    </w:p>
    <w:p>
      <w:r>
        <w:pict>
          <v:rect style="width:0;height:1.5pt" o:hralign="center" o:hrstd="t" o:hr="t"/>
        </w:pict>
      </w:r>
    </w:p>
    <w:bookmarkEnd w:id="21"/>
    <w:bookmarkStart w:id="22" w:name="parcours-professionnel"/>
    <w:p>
      <w:pPr>
        <w:pStyle w:val="Heading3"/>
      </w:pPr>
      <w:r>
        <w:t xml:space="preserve">2. Parcours professionnel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495"/>
        <w:gridCol w:w="848"/>
        <w:gridCol w:w="636"/>
        <w:gridCol w:w="2545"/>
        <w:gridCol w:w="1626"/>
        <w:gridCol w:w="1767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Poste</w:t>
            </w:r>
          </w:p>
        </w:tc>
        <w:tc>
          <w:tcPr/>
          <w:p>
            <w:pPr>
              <w:pStyle w:val="Compact"/>
            </w:pPr>
            <w:r>
              <w:t xml:space="preserve">Entreprise</w:t>
            </w:r>
          </w:p>
        </w:tc>
        <w:tc>
          <w:tcPr/>
          <w:p>
            <w:pPr>
              <w:pStyle w:val="Compact"/>
            </w:pPr>
            <w:r>
              <w:t xml:space="preserve">Période</w:t>
            </w:r>
          </w:p>
        </w:tc>
        <w:tc>
          <w:tcPr/>
          <w:p>
            <w:pPr>
              <w:pStyle w:val="Compact"/>
            </w:pPr>
            <w:r>
              <w:t xml:space="preserve">Contexte (secteur, taille, marché)</w:t>
            </w:r>
          </w:p>
        </w:tc>
        <w:tc>
          <w:tcPr/>
          <w:p>
            <w:pPr>
              <w:pStyle w:val="Compact"/>
            </w:pPr>
            <w:r>
              <w:t xml:space="preserve">Missions principales</w:t>
            </w:r>
          </w:p>
        </w:tc>
        <w:tc>
          <w:tcPr/>
          <w:p>
            <w:pPr>
              <w:pStyle w:val="Compact"/>
            </w:pPr>
            <w:r>
              <w:t xml:space="preserve">Réalisations chiffrées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2"/>
    <w:bookmarkStart w:id="28" w:name="compétences-clés"/>
    <w:p>
      <w:pPr>
        <w:pStyle w:val="Heading3"/>
      </w:pPr>
      <w:r>
        <w:t xml:space="preserve">3. Compétences clés</w:t>
      </w:r>
    </w:p>
    <w:bookmarkStart w:id="23" w:name="développement-commercial-et-stratégie"/>
    <w:p>
      <w:pPr>
        <w:pStyle w:val="Heading4"/>
      </w:pPr>
      <w:r>
        <w:t xml:space="preserve">3.1 Développement commercial et stratégie</w:t>
      </w:r>
    </w:p>
    <w:p>
      <w:pPr>
        <w:pStyle w:val="Compact"/>
        <w:numPr>
          <w:ilvl w:val="0"/>
          <w:numId w:val="1002"/>
        </w:numPr>
      </w:pPr>
      <w:r>
        <w:t xml:space="preserve">Détection et qualification de prospects</w:t>
      </w:r>
    </w:p>
    <w:p>
      <w:pPr>
        <w:pStyle w:val="Compact"/>
        <w:numPr>
          <w:ilvl w:val="0"/>
          <w:numId w:val="1002"/>
        </w:numPr>
      </w:pPr>
      <w:r>
        <w:t xml:space="preserve">Analyse marché et veille concurrentielle</w:t>
      </w:r>
    </w:p>
    <w:p>
      <w:pPr>
        <w:pStyle w:val="Compact"/>
        <w:numPr>
          <w:ilvl w:val="0"/>
          <w:numId w:val="1002"/>
        </w:numPr>
      </w:pPr>
      <w:r>
        <w:t xml:space="preserve">Élaboration de propositions de valeur</w:t>
      </w:r>
    </w:p>
    <w:p>
      <w:pPr>
        <w:pStyle w:val="Compact"/>
        <w:numPr>
          <w:ilvl w:val="0"/>
          <w:numId w:val="1002"/>
        </w:numPr>
      </w:pPr>
      <w:r>
        <w:t xml:space="preserve">Pilotage de plans de comptes stratégiques</w:t>
      </w:r>
    </w:p>
    <w:bookmarkEnd w:id="23"/>
    <w:bookmarkStart w:id="24" w:name="ingénierie-de-loffre-et-négociation"/>
    <w:p>
      <w:pPr>
        <w:pStyle w:val="Heading4"/>
      </w:pPr>
      <w:r>
        <w:t xml:space="preserve">3.2 Ingénierie de l’offre et négociation</w:t>
      </w:r>
    </w:p>
    <w:p>
      <w:pPr>
        <w:pStyle w:val="Compact"/>
        <w:numPr>
          <w:ilvl w:val="0"/>
          <w:numId w:val="1003"/>
        </w:numPr>
      </w:pPr>
      <w:r>
        <w:t xml:space="preserve">Rédaction d’offres complexes (techniques/financières)</w:t>
      </w:r>
    </w:p>
    <w:p>
      <w:pPr>
        <w:pStyle w:val="Compact"/>
        <w:numPr>
          <w:ilvl w:val="0"/>
          <w:numId w:val="1003"/>
        </w:numPr>
      </w:pPr>
      <w:r>
        <w:t xml:space="preserve">Gestion d’appels d’offres</w:t>
      </w:r>
    </w:p>
    <w:p>
      <w:pPr>
        <w:pStyle w:val="Compact"/>
        <w:numPr>
          <w:ilvl w:val="0"/>
          <w:numId w:val="1003"/>
        </w:numPr>
      </w:pPr>
      <w:r>
        <w:t xml:space="preserve">Négociation en environnement complexe</w:t>
      </w:r>
    </w:p>
    <w:bookmarkEnd w:id="24"/>
    <w:bookmarkStart w:id="25" w:name="gestion-de-projet-et-pilotage"/>
    <w:p>
      <w:pPr>
        <w:pStyle w:val="Heading4"/>
      </w:pPr>
      <w:r>
        <w:t xml:space="preserve">3.3 Gestion de projet et pilotage</w:t>
      </w:r>
    </w:p>
    <w:p>
      <w:pPr>
        <w:pStyle w:val="Compact"/>
        <w:numPr>
          <w:ilvl w:val="0"/>
          <w:numId w:val="1004"/>
        </w:numPr>
      </w:pPr>
      <w:r>
        <w:t xml:space="preserve">Coordination d’équipes transverses</w:t>
      </w:r>
    </w:p>
    <w:p>
      <w:pPr>
        <w:pStyle w:val="Compact"/>
        <w:numPr>
          <w:ilvl w:val="0"/>
          <w:numId w:val="1004"/>
        </w:numPr>
      </w:pPr>
      <w:r>
        <w:t xml:space="preserve">Suivi de la rentabilité projet</w:t>
      </w:r>
    </w:p>
    <w:p>
      <w:pPr>
        <w:pStyle w:val="Compact"/>
        <w:numPr>
          <w:ilvl w:val="0"/>
          <w:numId w:val="1004"/>
        </w:numPr>
      </w:pPr>
      <w:r>
        <w:t xml:space="preserve">Gestion des risques</w:t>
      </w:r>
    </w:p>
    <w:bookmarkEnd w:id="25"/>
    <w:bookmarkStart w:id="26" w:name="relation-client-fidélisation"/>
    <w:p>
      <w:pPr>
        <w:pStyle w:val="Heading4"/>
      </w:pPr>
      <w:r>
        <w:t xml:space="preserve">3.4 Relation client &amp; fidélisation</w:t>
      </w:r>
    </w:p>
    <w:p>
      <w:pPr>
        <w:pStyle w:val="Compact"/>
        <w:numPr>
          <w:ilvl w:val="0"/>
          <w:numId w:val="1005"/>
        </w:numPr>
      </w:pPr>
      <w:r>
        <w:t xml:space="preserve">Animation de comités de pilotage</w:t>
      </w:r>
    </w:p>
    <w:p>
      <w:pPr>
        <w:pStyle w:val="Compact"/>
        <w:numPr>
          <w:ilvl w:val="0"/>
          <w:numId w:val="1005"/>
        </w:numPr>
      </w:pPr>
      <w:r>
        <w:t xml:space="preserve">Stratégies d’upsell et cross-sell</w:t>
      </w:r>
    </w:p>
    <w:p>
      <w:pPr>
        <w:pStyle w:val="Compact"/>
        <w:numPr>
          <w:ilvl w:val="0"/>
          <w:numId w:val="1005"/>
        </w:numPr>
      </w:pPr>
      <w:r>
        <w:t xml:space="preserve">Gestion des litiges</w:t>
      </w:r>
    </w:p>
    <w:bookmarkEnd w:id="26"/>
    <w:bookmarkStart w:id="27" w:name="compétences-transverses"/>
    <w:p>
      <w:pPr>
        <w:pStyle w:val="Heading4"/>
      </w:pPr>
      <w:r>
        <w:t xml:space="preserve">3.5 Compétences transverses</w:t>
      </w:r>
    </w:p>
    <w:p>
      <w:pPr>
        <w:pStyle w:val="Compact"/>
        <w:numPr>
          <w:ilvl w:val="0"/>
          <w:numId w:val="1006"/>
        </w:numPr>
      </w:pPr>
      <w:r>
        <w:t xml:space="preserve">Management d’équipe commerciale</w:t>
      </w:r>
    </w:p>
    <w:p>
      <w:pPr>
        <w:pStyle w:val="Compact"/>
        <w:numPr>
          <w:ilvl w:val="0"/>
          <w:numId w:val="1006"/>
        </w:numPr>
      </w:pPr>
      <w:r>
        <w:t xml:space="preserve">Maîtrise outils CRM (Salesforce, Hubspot…)</w:t>
      </w:r>
    </w:p>
    <w:p>
      <w:pPr>
        <w:pStyle w:val="Compact"/>
        <w:numPr>
          <w:ilvl w:val="0"/>
          <w:numId w:val="1006"/>
        </w:numPr>
      </w:pPr>
      <w:r>
        <w:t xml:space="preserve">Anglais courant</w:t>
      </w:r>
    </w:p>
    <w:p>
      <w:pPr>
        <w:pStyle w:val="Compact"/>
        <w:numPr>
          <w:ilvl w:val="0"/>
          <w:numId w:val="1006"/>
        </w:numPr>
      </w:pPr>
      <w:r>
        <w:t xml:space="preserve">Communication interculturelle</w:t>
      </w:r>
    </w:p>
    <w:p>
      <w:pPr>
        <w:pStyle w:val="Compact"/>
        <w:numPr>
          <w:ilvl w:val="0"/>
          <w:numId w:val="1006"/>
        </w:numPr>
      </w:pPr>
      <w:r>
        <w:t xml:space="preserve">Esprit d’analyse &amp; synthèse</w:t>
      </w:r>
    </w:p>
    <w:p>
      <w:pPr>
        <w:pStyle w:val="Compact"/>
        <w:numPr>
          <w:ilvl w:val="0"/>
          <w:numId w:val="1006"/>
        </w:numPr>
      </w:pPr>
      <w:r>
        <w:t xml:space="preserve">Leadership et gestion du stress</w:t>
      </w:r>
    </w:p>
    <w:p>
      <w:r>
        <w:pict>
          <v:rect style="width:0;height:1.5pt" o:hralign="center" o:hrstd="t" o:hr="t"/>
        </w:pict>
      </w:r>
    </w:p>
    <w:bookmarkEnd w:id="27"/>
    <w:bookmarkEnd w:id="28"/>
    <w:bookmarkStart w:id="29" w:name="réalisations-emblématiques"/>
    <w:p>
      <w:pPr>
        <w:pStyle w:val="Heading3"/>
      </w:pPr>
      <w:r>
        <w:t xml:space="preserve">4. Réalisations emblématiques</w:t>
      </w:r>
    </w:p>
    <w:p>
      <w:pPr>
        <w:pStyle w:val="FirstParagraph"/>
      </w:pPr>
      <w:r>
        <w:t xml:space="preserve">Décrivez 2 à 4 projets phares selon la méthode</w:t>
      </w:r>
      <w:r>
        <w:t xml:space="preserve"> </w:t>
      </w:r>
      <w:r>
        <w:rPr>
          <w:b/>
          <w:bCs/>
        </w:rPr>
        <w:t xml:space="preserve">STAR</w:t>
      </w:r>
      <w:r>
        <w:t xml:space="preserve"> </w:t>
      </w:r>
      <w:r>
        <w:t xml:space="preserve">(Situation, Tâches, Actions, Résultats).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822"/>
        <w:gridCol w:w="1028"/>
        <w:gridCol w:w="1851"/>
        <w:gridCol w:w="1954"/>
        <w:gridCol w:w="2262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Projet</w:t>
            </w:r>
          </w:p>
        </w:tc>
        <w:tc>
          <w:tcPr/>
          <w:p>
            <w:pPr>
              <w:pStyle w:val="Compact"/>
            </w:pPr>
            <w:r>
              <w:t xml:space="preserve">Contexte</w:t>
            </w:r>
          </w:p>
        </w:tc>
        <w:tc>
          <w:tcPr/>
          <w:p>
            <w:pPr>
              <w:pStyle w:val="Compact"/>
            </w:pPr>
            <w:r>
              <w:t xml:space="preserve">Rôle et missions</w:t>
            </w:r>
          </w:p>
        </w:tc>
        <w:tc>
          <w:tcPr/>
          <w:p>
            <w:pPr>
              <w:pStyle w:val="Compact"/>
            </w:pPr>
            <w:r>
              <w:t xml:space="preserve">Actions réalisées</w:t>
            </w:r>
          </w:p>
        </w:tc>
        <w:tc>
          <w:tcPr/>
          <w:p>
            <w:pPr>
              <w:pStyle w:val="Compact"/>
            </w:pPr>
            <w:r>
              <w:t xml:space="preserve">Résultats (chiffrés)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9"/>
    <w:bookmarkStart w:id="30" w:name="formation-initiale-et-continue"/>
    <w:p>
      <w:pPr>
        <w:pStyle w:val="Heading3"/>
      </w:pPr>
      <w:r>
        <w:t xml:space="preserve">5. Formation initiale et continue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980"/>
        <w:gridCol w:w="1980"/>
        <w:gridCol w:w="1980"/>
        <w:gridCol w:w="198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Formation</w:t>
            </w:r>
          </w:p>
        </w:tc>
        <w:tc>
          <w:tcPr/>
          <w:p>
            <w:pPr>
              <w:pStyle w:val="Compact"/>
            </w:pPr>
            <w:r>
              <w:t xml:space="preserve">Diplôme / Certification</w:t>
            </w:r>
          </w:p>
        </w:tc>
        <w:tc>
          <w:tcPr/>
          <w:p>
            <w:pPr>
              <w:pStyle w:val="Compact"/>
            </w:pPr>
            <w:r>
              <w:t xml:space="preserve">Établissement</w:t>
            </w:r>
          </w:p>
        </w:tc>
        <w:tc>
          <w:tcPr/>
          <w:p>
            <w:pPr>
              <w:pStyle w:val="Compact"/>
            </w:pPr>
            <w:r>
              <w:t xml:space="preserve">Année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30"/>
    <w:bookmarkStart w:id="31" w:name="analyse-réflexive-et-prise-de-recul"/>
    <w:p>
      <w:pPr>
        <w:pStyle w:val="Heading3"/>
      </w:pPr>
      <w:r>
        <w:t xml:space="preserve">6. Analyse réflexive et prise de recul</w:t>
      </w:r>
    </w:p>
    <w:p>
      <w:pPr>
        <w:pStyle w:val="Compact"/>
        <w:numPr>
          <w:ilvl w:val="0"/>
          <w:numId w:val="1007"/>
        </w:numPr>
      </w:pPr>
      <w:r>
        <w:rPr>
          <w:b/>
          <w:bCs/>
        </w:rPr>
        <w:t xml:space="preserve">Forces professionnelles :</w:t>
      </w:r>
      <w:r>
        <w:t xml:space="preserve"> </w:t>
      </w:r>
      <w:r>
        <w:t xml:space="preserve">…………………………………………</w:t>
      </w:r>
    </w:p>
    <w:p>
      <w:pPr>
        <w:pStyle w:val="Compact"/>
        <w:numPr>
          <w:ilvl w:val="0"/>
          <w:numId w:val="1007"/>
        </w:numPr>
      </w:pPr>
      <w:r>
        <w:rPr>
          <w:b/>
          <w:bCs/>
        </w:rPr>
        <w:t xml:space="preserve">Axes de progrès :</w:t>
      </w:r>
      <w:r>
        <w:t xml:space="preserve"> </w:t>
      </w:r>
      <w:r>
        <w:t xml:space="preserve">…………………………………………</w:t>
      </w:r>
    </w:p>
    <w:p>
      <w:pPr>
        <w:pStyle w:val="Compact"/>
        <w:numPr>
          <w:ilvl w:val="0"/>
          <w:numId w:val="1007"/>
        </w:numPr>
      </w:pPr>
      <w:r>
        <w:rPr>
          <w:b/>
          <w:bCs/>
        </w:rPr>
        <w:t xml:space="preserve">Contributions à l’entreprise :</w:t>
      </w:r>
      <w:r>
        <w:t xml:space="preserve"> </w:t>
      </w:r>
      <w:r>
        <w:t xml:space="preserve">…………………………………………</w:t>
      </w:r>
    </w:p>
    <w:p>
      <w:r>
        <w:pict>
          <v:rect style="width:0;height:1.5pt" o:hralign="center" o:hrstd="t" o:hr="t"/>
        </w:pict>
      </w:r>
    </w:p>
    <w:bookmarkEnd w:id="31"/>
    <w:bookmarkStart w:id="32" w:name="annexes"/>
    <w:p>
      <w:pPr>
        <w:pStyle w:val="Heading3"/>
      </w:pPr>
      <w:r>
        <w:t xml:space="preserve">7. Annexes</w:t>
      </w:r>
    </w:p>
    <w:p>
      <w:pPr>
        <w:pStyle w:val="Compact"/>
        <w:numPr>
          <w:ilvl w:val="0"/>
          <w:numId w:val="1008"/>
        </w:numPr>
      </w:pPr>
      <w:r>
        <w:t xml:space="preserve">CV actualisé</w:t>
      </w:r>
    </w:p>
    <w:p>
      <w:pPr>
        <w:pStyle w:val="Compact"/>
        <w:numPr>
          <w:ilvl w:val="0"/>
          <w:numId w:val="1008"/>
        </w:numPr>
      </w:pPr>
      <w:r>
        <w:t xml:space="preserve">Diplômes et attestations de formation</w:t>
      </w:r>
    </w:p>
    <w:p>
      <w:pPr>
        <w:pStyle w:val="Compact"/>
        <w:numPr>
          <w:ilvl w:val="0"/>
          <w:numId w:val="1008"/>
        </w:numPr>
      </w:pPr>
      <w:r>
        <w:t xml:space="preserve">Lettres de recommandation / attestations employeur</w:t>
      </w:r>
    </w:p>
    <w:p>
      <w:pPr>
        <w:pStyle w:val="Compact"/>
        <w:numPr>
          <w:ilvl w:val="0"/>
          <w:numId w:val="1008"/>
        </w:numPr>
      </w:pPr>
      <w:r>
        <w:t xml:space="preserve">Tableaux de résultats (CA, marges, progression clients)</w:t>
      </w:r>
    </w:p>
    <w:p>
      <w:pPr>
        <w:pStyle w:val="Compact"/>
        <w:numPr>
          <w:ilvl w:val="0"/>
          <w:numId w:val="1008"/>
        </w:numPr>
      </w:pPr>
      <w:r>
        <w:t xml:space="preserve">Extraits anonymisés d’offres commerciales ou contrats</w:t>
      </w:r>
    </w:p>
    <w:p>
      <w:r>
        <w:pict>
          <v:rect style="width:0;height:1.5pt" o:hralign="center" o:hrstd="t" o:hr="t"/>
        </w:pict>
      </w:r>
    </w:p>
    <w:bookmarkEnd w:id="32"/>
    <w:bookmarkStart w:id="33" w:name="checklist-de-conformité"/>
    <w:p>
      <w:pPr>
        <w:pStyle w:val="Heading3"/>
      </w:pPr>
      <w:r>
        <w:t xml:space="preserve">✅ Checklist de conformité</w:t>
      </w:r>
    </w:p>
    <w:p>
      <w:pPr>
        <w:pStyle w:val="Compact"/>
        <w:numPr>
          <w:ilvl w:val="0"/>
          <w:numId w:val="1009"/>
        </w:numPr>
      </w:pPr>
      <w:r>
        <w:t xml:space="preserve">Cohérence expériences ↔ blocs de compétences RNCP</w:t>
      </w:r>
    </w:p>
    <w:p>
      <w:pPr>
        <w:pStyle w:val="Compact"/>
        <w:numPr>
          <w:ilvl w:val="0"/>
          <w:numId w:val="1010"/>
        </w:numPr>
      </w:pPr>
      <w:r>
        <w:t xml:space="preserve">Résultats chiffrés renseignés</w:t>
      </w:r>
    </w:p>
    <w:p>
      <w:pPr>
        <w:pStyle w:val="Compact"/>
        <w:numPr>
          <w:ilvl w:val="0"/>
          <w:numId w:val="1011"/>
        </w:numPr>
      </w:pPr>
      <w:r>
        <w:t xml:space="preserve">Compétences transverses valorisées</w:t>
      </w:r>
    </w:p>
    <w:p>
      <w:pPr>
        <w:pStyle w:val="Compact"/>
        <w:numPr>
          <w:ilvl w:val="0"/>
          <w:numId w:val="1012"/>
        </w:numPr>
      </w:pPr>
      <w:r>
        <w:t xml:space="preserve">Projets STAR détaillés</w:t>
      </w:r>
    </w:p>
    <w:p>
      <w:pPr>
        <w:pStyle w:val="Compact"/>
        <w:numPr>
          <w:ilvl w:val="0"/>
          <w:numId w:val="1013"/>
        </w:numPr>
      </w:pPr>
      <w:r>
        <w:t xml:space="preserve">Annexes fournies et anonymisées</w:t>
      </w:r>
    </w:p>
    <w:bookmarkEnd w:id="33"/>
    <w:bookmarkEnd w:id="34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92">
    <w:nsid w:val="0000A992"/>
    <w:multiLevelType w:val="multilevel"/>
    <w:lvl w:ilvl="0">
      <w:numFmt w:val="bullet"/>
      <w:lvlText w:val="☐"/>
      <w:lvlJc w:val="left"/>
      <w:pPr>
        <w:ind w:left="720" w:hanging="360"/>
      </w:pPr>
    </w:lvl>
    <w:lvl w:ilvl="1">
      <w:numFmt w:val="bullet"/>
      <w:lvlText w:val="☐"/>
      <w:lvlJc w:val="left"/>
      <w:pPr>
        <w:ind w:left="1440" w:hanging="360"/>
      </w:pPr>
    </w:lvl>
    <w:lvl w:ilvl="2">
      <w:numFmt w:val="bullet"/>
      <w:lvlText w:val="☐"/>
      <w:lvlJc w:val="left"/>
      <w:pPr>
        <w:ind w:left="2160" w:hanging="360"/>
      </w:pPr>
    </w:lvl>
    <w:lvl w:ilvl="3">
      <w:numFmt w:val="bullet"/>
      <w:lvlText w:val="☐"/>
      <w:lvlJc w:val="left"/>
      <w:pPr>
        <w:ind w:left="2880" w:hanging="360"/>
      </w:pPr>
    </w:lvl>
    <w:lvl w:ilvl="4">
      <w:numFmt w:val="bullet"/>
      <w:lvlText w:val="☐"/>
      <w:lvlJc w:val="left"/>
      <w:pPr>
        <w:ind w:left="3600" w:hanging="360"/>
      </w:pPr>
    </w:lvl>
    <w:lvl w:ilvl="5">
      <w:numFmt w:val="bullet"/>
      <w:lvlText w:val="☐"/>
      <w:lvlJc w:val="left"/>
      <w:pPr>
        <w:ind w:left="4320" w:hanging="360"/>
      </w:pPr>
    </w:lvl>
    <w:lvl w:ilvl="6">
      <w:numFmt w:val="bullet"/>
      <w:lvlText w:val="☐"/>
      <w:lvlJc w:val="left"/>
      <w:pPr>
        <w:ind w:left="5040" w:hanging="360"/>
      </w:pPr>
    </w:lvl>
    <w:lvl w:ilvl="7">
      <w:numFmt w:val="bullet"/>
      <w:lvlText w:val="☐"/>
      <w:lvlJc w:val="left"/>
      <w:pPr>
        <w:ind w:left="5760" w:hanging="360"/>
      </w:pPr>
    </w:lvl>
    <w:lvl w:ilvl="8">
      <w:numFmt w:val="bullet"/>
      <w:lvlText w:val="☐"/>
      <w:lvlJc w:val="left"/>
      <w:pPr>
        <w:ind w:left="6480" w:hanging="360"/>
      </w:pPr>
    </w:lvl>
  </w:abstract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  <w:num w:numId="1007">
    <w:abstractNumId w:val="991"/>
  </w:num>
  <w:num w:numId="1008">
    <w:abstractNumId w:val="991"/>
  </w:num>
  <w:num w:numId="1009">
    <w:abstractNumId w:val="992"/>
  </w:num>
  <w:num w:numId="1010">
    <w:abstractNumId w:val="992"/>
  </w:num>
  <w:num w:numId="1011">
    <w:abstractNumId w:val="992"/>
  </w:num>
  <w:num w:numId="1012">
    <w:abstractNumId w:val="992"/>
  </w:num>
  <w:num w:numId="1013">
    <w:abstractNumId w:val="992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2025-08-19T17:14:37Z</dcterms:created>
  <dcterms:modified xsi:type="dcterms:W3CDTF">2025-08-19T17:14:37Z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