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10B981"/>
          <w:sz w:val="40"/>
        </w:rPr>
        <w:t>A3 — PROBLEM SOLVING — Réduction des rayures capot – Ligne A</w:t>
      </w:r>
    </w:p>
    <w:p>
      <w:r>
        <w:rPr>
          <w:i/>
          <w:color w:val="065F46"/>
        </w:rPr>
        <w:t>Code : A3-RAY-LA    Version : v1.0    Date : 28/08/2025    Équipe : Assemblage A    Pilote : [Nom]    Sponsor : [Nom]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META &amp; PÉRIMÈTRE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85"/>
        <w:gridCol w:w="3685"/>
        <w:gridCol w:w="3685"/>
        <w:gridCol w:w="3685"/>
        <w:gridCol w:w="3685"/>
        <w:gridCol w:w="3685"/>
      </w:tblGrid>
      <w:tr>
        <w:tc>
          <w:tcPr>
            <w:tcW w:type="dxa" w:w="3685"/>
            <w:shd w:val="clear" w:color="auto" w:fill="F3F4F6"/>
          </w:tcPr>
          <w:p>
            <w:r>
              <w:t>Client(s)</w:t>
            </w:r>
          </w:p>
        </w:tc>
        <w:tc>
          <w:tcPr>
            <w:tcW w:type="dxa" w:w="3685"/>
          </w:tcPr>
          <w:p>
            <w:r>
              <w:t>Client Auto X (interne fin de ligne)</w:t>
            </w:r>
          </w:p>
        </w:tc>
        <w:tc>
          <w:tcPr>
            <w:tcW w:type="dxa" w:w="3685"/>
            <w:shd w:val="clear" w:color="auto" w:fill="F3F4F6"/>
          </w:tcPr>
          <w:p>
            <w:r>
              <w:t>Voix du client (VOC)</w:t>
            </w:r>
          </w:p>
        </w:tc>
        <w:tc>
          <w:tcPr>
            <w:tcW w:type="dxa" w:w="3685"/>
          </w:tcPr>
          <w:p>
            <w:r>
              <w:t>CTQ Aspect Classe A : aucune rayure visible ; PPM &lt; 300 ; 0 tri client</w:t>
            </w:r>
          </w:p>
        </w:tc>
        <w:tc>
          <w:tcPr>
            <w:tcW w:type="dxa" w:w="3685"/>
            <w:shd w:val="clear" w:color="auto" w:fill="F3F4F6"/>
          </w:tcPr>
          <w:p>
            <w:r>
              <w:t>Périmètre</w:t>
            </w:r>
          </w:p>
        </w:tc>
        <w:tc>
          <w:tcPr>
            <w:tcW w:type="dxa" w:w="3685"/>
          </w:tcPr>
          <w:p>
            <w:r>
              <w:t>Ligne A – Postes 30→36 (manutention + assemblage capot)</w:t>
            </w:r>
          </w:p>
        </w:tc>
      </w:tr>
      <w:tr>
        <w:tc>
          <w:tcPr>
            <w:tcW w:type="dxa" w:w="3685"/>
            <w:shd w:val="clear" w:color="auto" w:fill="F3F4F6"/>
          </w:tcPr>
          <w:p>
            <w:r>
              <w:t>Hors périmètre</w:t>
            </w:r>
          </w:p>
        </w:tc>
        <w:tc>
          <w:tcPr>
            <w:tcW w:type="dxa" w:w="3685"/>
          </w:tcPr>
          <w:p>
            <w:r>
              <w:t>Ligne B ; pièces fournisseur Y (sous 8D séparé)</w:t>
            </w:r>
          </w:p>
        </w:tc>
        <w:tc>
          <w:tcPr>
            <w:tcW w:type="dxa" w:w="3685"/>
            <w:shd w:val="clear" w:color="auto" w:fill="F3F4F6"/>
          </w:tcPr>
          <w:p>
            <w:r>
              <w:t>Processus/Zone</w:t>
            </w:r>
          </w:p>
        </w:tc>
        <w:tc>
          <w:tcPr>
            <w:tcW w:type="dxa" w:w="3685"/>
          </w:tcPr>
          <w:p>
            <w:r>
              <w:t>Assemblage capot – flux en U, convoyeur segments S2–S4</w:t>
            </w:r>
          </w:p>
        </w:tc>
        <w:tc>
          <w:tcPr>
            <w:tcW w:type="dxa" w:w="3685"/>
            <w:shd w:val="clear" w:color="auto" w:fill="F3F4F6"/>
          </w:tcPr>
          <w:p>
            <w:r>
              <w:t>Contrainte clé</w:t>
            </w:r>
          </w:p>
        </w:tc>
        <w:tc>
          <w:tcPr>
            <w:tcW w:type="dxa" w:w="3685"/>
          </w:tcPr>
          <w:p>
            <w:r>
              <w:t>Cadence 42 u/h ; gabarit ancien ; surface fragile</w:t>
            </w:r>
          </w:p>
        </w:tc>
      </w:tr>
      <w:tr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  <w:tc>
          <w:tcPr>
            <w:tcW w:type="dxa" w:w="3685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1) CONTEXTE &amp; PROBLÈME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</w:tcPr>
          <w:p>
            <w:r>
              <w:t>Depuis mai 2025, hausse des défauts **rayure capot** sur Ligne A. Baseline 4 semaines : **1 200 PPM**, **FPY 88 %**, **8 % retouches**, **2 arrêts client**. Coût retouches estimé **4 800 €/mois**.</w:t>
            </w:r>
          </w:p>
        </w:tc>
      </w:tr>
      <w:tr>
        <w:tc>
          <w:tcPr>
            <w:tcW w:type="dxa" w:w="22111"/>
          </w:tcPr>
          <w:p>
            <w:r>
              <w:t>**Problème (SMART)** : Sur la Ligne A (postes 30→36), les capots présentent des rayures post‑assemblage à hauteur de **1 200 PPM** (moy. 4 sem.), impactant **qualité client** et **coûts**.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2) SITUATION ACTUELLE (état des lieux)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t>**Flux actuel** (croquis) :</w:t>
              <w:br/>
              <w:t>Réception &amp; racks → Manutention → Pose charnières → Convoyeur S2–S4 → Contrôle final</w:t>
            </w:r>
          </w:p>
        </w:tc>
        <w:tc>
          <w:tcPr>
            <w:tcW w:type="dxa" w:w="11055"/>
          </w:tcPr>
          <w:p>
            <w:r>
              <w:t>**Baseline indicateurs** :</w:t>
              <w:br/>
              <w:t>- Qualité : PPM rayure **1 200** ; FPY **88 %**</w:t>
              <w:br/>
              <w:t>- Délai : retouche **25 min/capot**</w:t>
              <w:br/>
              <w:t>- Coût : **4 800 €/mois**</w:t>
              <w:br/>
              <w:t>- Sécurité : **2 near‑miss/mois** (manutention)</w:t>
            </w:r>
          </w:p>
        </w:tc>
      </w:tr>
      <w:tr>
        <w:tc>
          <w:tcPr>
            <w:tcW w:type="dxa" w:w="11055"/>
          </w:tcPr>
          <w:p>
            <w:r>
              <w:t>**Conditions poste (5M/5S)** :</w:t>
              <w:br/>
              <w:t>Man : intérim non formé aux prises ; Méthodes : standard manutention absent ;</w:t>
              <w:br/>
              <w:t>Milieu : éclairage oblique insuffisant ; Matières : film protecteur ôté trop tôt ;</w:t>
              <w:br/>
              <w:t>Machines : bords convoyeur abrasifs segments S3 ; Mesure : codification défaut incomplète.</w:t>
            </w:r>
          </w:p>
        </w:tc>
        <w:tc>
          <w:tcPr>
            <w:tcW w:type="dxa" w:w="11055"/>
          </w:tcPr>
          <w:p>
            <w:r>
              <w:t>**Contraintes / hypothèses** :</w:t>
              <w:br/>
              <w:t>Montée en cadence ; mix modèle premium ; gabarit ancien ; indispo 2 h maintenance/semaine.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3) OBJECTIF CIBLE (TARGET CONDITION)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t>**Objectif SMART** : Ramener PPM rayure ≤ **300** et FPY ≥ **97 %** avant le **31/10/2025** sur Ligne A, sans régression S/Q.</w:t>
            </w:r>
          </w:p>
        </w:tc>
        <w:tc>
          <w:tcPr>
            <w:tcW w:type="dxa" w:w="11055"/>
          </w:tcPr>
          <w:p>
            <w:r>
              <w:t>**Critères de succès** :</w:t>
              <w:br/>
              <w:t>- Valeur tenue ≥ 4 semaines</w:t>
              <w:br/>
              <w:t>- 0 stop‑ship client</w:t>
              <w:br/>
              <w:t>- Photos avant/après + SPC hebdo</w:t>
            </w:r>
          </w:p>
        </w:tc>
      </w:tr>
      <w:tr>
        <w:tc>
          <w:tcPr>
            <w:tcW w:type="dxa" w:w="11055"/>
          </w:tcPr>
          <w:p>
            <w:r>
              <w:t>**KPI suivis** :</w:t>
              <w:br/>
              <w:t>PPM rayure (hebdo)</w:t>
              <w:br/>
              <w:t>FPY (quotidien)</w:t>
              <w:br/>
              <w:t>Temps retouche (min/capot)</w:t>
            </w:r>
          </w:p>
        </w:tc>
        <w:tc>
          <w:tcPr>
            <w:tcW w:type="dxa" w:w="11055"/>
          </w:tcPr>
          <w:p>
            <w:r>
              <w:t>**Bénéfices attendus** :</w:t>
              <w:br/>
              <w:t>Qualité client stable ; -60 % coûts retouche ;</w:t>
              <w:br/>
              <w:t>Sécurité manutention améliorée ; engagement équipe.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4) ANALYSE CAUSES — ISHIKAWA &amp; 5 POURQUOI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370"/>
        <w:gridCol w:w="7370"/>
        <w:gridCol w:w="7370"/>
      </w:tblGrid>
      <w:tr>
        <w:tc>
          <w:tcPr>
            <w:tcW w:type="dxa" w:w="7370"/>
            <w:shd w:val="clear" w:color="auto" w:fill="F3F4F6"/>
          </w:tcPr>
          <w:p>
            <w:r>
              <w:t>Main d’œuvre (Man)</w:t>
            </w:r>
          </w:p>
        </w:tc>
        <w:tc>
          <w:tcPr>
            <w:tcW w:type="dxa" w:w="7370"/>
            <w:shd w:val="clear" w:color="auto" w:fill="F3F4F6"/>
          </w:tcPr>
          <w:p>
            <w:r>
              <w:t>Méthodes</w:t>
            </w:r>
          </w:p>
        </w:tc>
        <w:tc>
          <w:tcPr>
            <w:tcW w:type="dxa" w:w="7370"/>
            <w:shd w:val="clear" w:color="auto" w:fill="F3F4F6"/>
          </w:tcPr>
          <w:p>
            <w:r>
              <w:t>Milieu (Milieu)</w:t>
            </w:r>
          </w:p>
        </w:tc>
      </w:tr>
      <w:tr>
        <w:tc>
          <w:tcPr>
            <w:tcW w:type="dxa" w:w="7370"/>
            <w:shd w:val="clear" w:color="auto" w:fill="F3F4F6"/>
          </w:tcPr>
          <w:p>
            <w:r>
              <w:t>Matières</w:t>
            </w:r>
          </w:p>
        </w:tc>
        <w:tc>
          <w:tcPr>
            <w:tcW w:type="dxa" w:w="7370"/>
            <w:shd w:val="clear" w:color="auto" w:fill="F3F4F6"/>
          </w:tcPr>
          <w:p>
            <w:r>
              <w:t>Machines</w:t>
            </w:r>
          </w:p>
        </w:tc>
        <w:tc>
          <w:tcPr>
            <w:tcW w:type="dxa" w:w="7370"/>
            <w:shd w:val="clear" w:color="auto" w:fill="F3F4F6"/>
          </w:tcPr>
          <w:p>
            <w:r>
              <w:t>Mesure</w:t>
            </w:r>
          </w:p>
        </w:tc>
      </w:tr>
      <w:tr>
        <w:tc>
          <w:tcPr>
            <w:tcW w:type="dxa" w:w="7370"/>
          </w:tcPr>
          <w:p>
            <w:r>
              <w:t>Causes potentielles :</w:t>
              <w:br/>
              <w:t>• Prises inadaptées sur surfaces peintes ; intérim non formé ; gants non adaptés.</w:t>
              <w:br/>
              <w:t>Preuves :</w:t>
              <w:br/>
              <w:t>• Photos, essais frottement, logs retouche</w:t>
            </w:r>
          </w:p>
        </w:tc>
        <w:tc>
          <w:tcPr>
            <w:tcW w:type="dxa" w:w="7370"/>
          </w:tcPr>
          <w:p>
            <w:r>
              <w:t>Causes potentielles :</w:t>
              <w:br/>
              <w:t>• Standard de manutention absent ; check-list 1ère pièce non vérifie le film.</w:t>
              <w:br/>
              <w:t>Preuves :</w:t>
              <w:br/>
              <w:t>• Photos, essais frottement, logs retouche</w:t>
            </w:r>
          </w:p>
        </w:tc>
        <w:tc>
          <w:tcPr>
            <w:tcW w:type="dxa" w:w="7370"/>
          </w:tcPr>
          <w:p>
            <w:r>
              <w:t>Causes potentielles :</w:t>
              <w:br/>
              <w:t>• Éclairage rasant insuffisant ; espace étroit au S3 (risque contact).</w:t>
              <w:br/>
              <w:t>Preuves :</w:t>
              <w:br/>
              <w:t>• Photos, essais frottement, logs retouche</w:t>
            </w:r>
          </w:p>
        </w:tc>
      </w:tr>
      <w:tr>
        <w:tc>
          <w:tcPr>
            <w:tcW w:type="dxa" w:w="7370"/>
          </w:tcPr>
          <w:p>
            <w:r>
              <w:t>Causes potentielles :</w:t>
              <w:br/>
              <w:t>• Film protecteur retiré au poste 32 ; micro‑poussières sur racks.</w:t>
              <w:br/>
              <w:t>Preuves :</w:t>
              <w:br/>
              <w:t>• Photos, essais frottement, logs retouche</w:t>
            </w:r>
          </w:p>
        </w:tc>
        <w:tc>
          <w:tcPr>
            <w:tcW w:type="dxa" w:w="7370"/>
          </w:tcPr>
          <w:p>
            <w:r>
              <w:t>Causes potentielles :</w:t>
              <w:br/>
              <w:t>• Bords convoyeur S3 abrasifs ; gabarit aux coins durs ; chariot sans mousse.</w:t>
              <w:br/>
              <w:t>Preuves :</w:t>
              <w:br/>
              <w:t>• Photos, essais frottement, logs retouche</w:t>
            </w:r>
          </w:p>
        </w:tc>
        <w:tc>
          <w:tcPr>
            <w:tcW w:type="dxa" w:w="7370"/>
          </w:tcPr>
          <w:p>
            <w:r>
              <w:t>Causes potentielles :</w:t>
              <w:br/>
              <w:t>• Codification défaut floue (classement C/B) ; pas de mesure visuelle standard.</w:t>
              <w:br/>
              <w:t>Preuves :</w:t>
              <w:br/>
              <w:t>• Photos, essais frottement, logs retouche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val="clear" w:color="auto" w:fill="F3F4F6"/>
          </w:tcPr>
          <w:p>
            <w:r>
              <w:t>Chaîne 5 Pourquoi (cause racine)</w:t>
            </w:r>
          </w:p>
        </w:tc>
        <w:tc>
          <w:tcPr>
            <w:tcW w:type="dxa" w:w="11055"/>
          </w:tcPr>
          <w:p>
            <w:r/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Pourquoi 1 ?</w:t>
            </w:r>
          </w:p>
        </w:tc>
        <w:tc>
          <w:tcPr>
            <w:tcW w:type="dxa" w:w="11055"/>
          </w:tcPr>
          <w:p>
            <w:r>
              <w:t>Parce que des contacts capot/convoyeur + mains génèrent des rayures.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Pourquoi 2 ?</w:t>
            </w:r>
          </w:p>
        </w:tc>
        <w:tc>
          <w:tcPr>
            <w:tcW w:type="dxa" w:w="11055"/>
          </w:tcPr>
          <w:p>
            <w:r>
              <w:t>Parce que les bords convoyeur S3 sont abrasifs et le film protecteur a été retiré tôt.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Pourquoi 3 ?</w:t>
            </w:r>
          </w:p>
        </w:tc>
        <w:tc>
          <w:tcPr>
            <w:tcW w:type="dxa" w:w="11055"/>
          </w:tcPr>
          <w:p>
            <w:r>
              <w:t>Parce qu’aucun standard n’impose le maintien du film jusqu’au poste 34.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Pourquoi 4 ?</w:t>
            </w:r>
          </w:p>
        </w:tc>
        <w:tc>
          <w:tcPr>
            <w:tcW w:type="dxa" w:w="11055"/>
          </w:tcPr>
          <w:p>
            <w:r>
              <w:t>Parce qu’un changement de méthode en juin n’a pas été documenté ni formé.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Pourquoi 5 ?</w:t>
            </w:r>
          </w:p>
        </w:tc>
        <w:tc>
          <w:tcPr>
            <w:tcW w:type="dxa" w:w="11055"/>
          </w:tcPr>
          <w:p>
            <w:r>
              <w:t>Parce qu’il manque une gouvernance de standard : validation + formation + audit.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5) CONTRE‑MESURES &amp; PLAN D’ACTION (PRÉVENTION &gt; DÉTECTION)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"/>
        <w:gridCol w:w="2211"/>
        <w:gridCol w:w="2211"/>
        <w:gridCol w:w="2211"/>
        <w:gridCol w:w="2211"/>
        <w:gridCol w:w="2211"/>
        <w:gridCol w:w="2211"/>
        <w:gridCol w:w="2211"/>
        <w:gridCol w:w="2211"/>
        <w:gridCol w:w="2211"/>
      </w:tblGrid>
      <w:tr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ID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Action / Contre‑mesure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Type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Échéance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Ressources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Indicateur d’effet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Statut</w:t>
            </w:r>
          </w:p>
        </w:tc>
        <w:tc>
          <w:tcPr>
            <w:tcW w:type="dxa" w:w="2211"/>
            <w:shd w:val="clear" w:color="auto" w:fill="111827"/>
          </w:tcPr>
          <w:p>
            <w:r>
              <w:rPr>
                <w:b/>
                <w:color w:val="FFFFFF"/>
              </w:rPr>
              <w:t>Preuve (lien)</w:t>
            </w:r>
          </w:p>
        </w:tc>
      </w:tr>
      <w:tr>
        <w:tc>
          <w:tcPr>
            <w:tcW w:type="dxa" w:w="2211"/>
          </w:tcPr>
          <w:p>
            <w:r>
              <w:t>A1</w:t>
            </w:r>
          </w:p>
        </w:tc>
        <w:tc>
          <w:tcPr>
            <w:tcW w:type="dxa" w:w="2211"/>
          </w:tcPr>
          <w:p>
            <w:r>
              <w:t>Poser **protections PTFE** sur bords convoyeur S3</w:t>
            </w:r>
          </w:p>
        </w:tc>
        <w:tc>
          <w:tcPr>
            <w:tcW w:type="dxa" w:w="2211"/>
          </w:tcPr>
          <w:p>
            <w:r>
              <w:t>Prévention</w:t>
            </w:r>
          </w:p>
        </w:tc>
        <w:tc>
          <w:tcPr>
            <w:tcW w:type="dxa" w:w="2211"/>
          </w:tcPr>
          <w:p>
            <w:r>
              <w:t>Maintenance</w:t>
            </w:r>
          </w:p>
        </w:tc>
        <w:tc>
          <w:tcPr>
            <w:tcW w:type="dxa" w:w="2211"/>
          </w:tcPr>
          <w:p>
            <w:r>
              <w:t>10/09/2025</w:t>
            </w:r>
          </w:p>
        </w:tc>
        <w:tc>
          <w:tcPr>
            <w:tcW w:type="dxa" w:w="2211"/>
          </w:tcPr>
          <w:p>
            <w:r>
              <w:t>Kit PTFE</w:t>
            </w:r>
          </w:p>
        </w:tc>
        <w:tc>
          <w:tcPr>
            <w:tcW w:type="dxa" w:w="2211"/>
          </w:tcPr>
          <w:p>
            <w:r>
              <w:t>Arrêt 30 min</w:t>
            </w:r>
          </w:p>
        </w:tc>
        <w:tc>
          <w:tcPr>
            <w:tcW w:type="dxa" w:w="2211"/>
          </w:tcPr>
          <w:p>
            <w:r>
              <w:t>PPM rayure</w:t>
            </w:r>
          </w:p>
        </w:tc>
        <w:tc>
          <w:tcPr>
            <w:tcW w:type="dxa" w:w="2211"/>
          </w:tcPr>
          <w:p>
            <w:r>
              <w:t>À faire</w:t>
            </w:r>
          </w:p>
        </w:tc>
        <w:tc>
          <w:tcPr>
            <w:tcW w:type="dxa" w:w="2211"/>
          </w:tcPr>
          <w:p>
            <w:r>
              <w:t>[photos]</w:t>
            </w:r>
          </w:p>
        </w:tc>
      </w:tr>
      <w:tr>
        <w:tc>
          <w:tcPr>
            <w:tcW w:type="dxa" w:w="2211"/>
          </w:tcPr>
          <w:p>
            <w:r>
              <w:t>A2</w:t>
            </w:r>
          </w:p>
        </w:tc>
        <w:tc>
          <w:tcPr>
            <w:tcW w:type="dxa" w:w="2211"/>
          </w:tcPr>
          <w:p>
            <w:r>
              <w:t>**Standard manutention 1‑point** + formation flash (10 min)</w:t>
            </w:r>
          </w:p>
        </w:tc>
        <w:tc>
          <w:tcPr>
            <w:tcW w:type="dxa" w:w="2211"/>
          </w:tcPr>
          <w:p>
            <w:r>
              <w:t>Prévention</w:t>
            </w:r>
          </w:p>
        </w:tc>
        <w:tc>
          <w:tcPr>
            <w:tcW w:type="dxa" w:w="2211"/>
          </w:tcPr>
          <w:p>
            <w:r>
              <w:t>Méthodes</w:t>
            </w:r>
          </w:p>
        </w:tc>
        <w:tc>
          <w:tcPr>
            <w:tcW w:type="dxa" w:w="2211"/>
          </w:tcPr>
          <w:p>
            <w:r>
              <w:t>05/09/2025</w:t>
            </w:r>
          </w:p>
        </w:tc>
        <w:tc>
          <w:tcPr>
            <w:tcW w:type="dxa" w:w="2211"/>
          </w:tcPr>
          <w:p>
            <w:r>
              <w:t>OPL + affichage</w:t>
            </w:r>
          </w:p>
        </w:tc>
        <w:tc>
          <w:tcPr>
            <w:tcW w:type="dxa" w:w="2211"/>
          </w:tcPr>
          <w:p>
            <w:r>
              <w:t>Adhésion</w:t>
            </w:r>
          </w:p>
        </w:tc>
        <w:tc>
          <w:tcPr>
            <w:tcW w:type="dxa" w:w="2211"/>
          </w:tcPr>
          <w:p>
            <w:r>
              <w:t>FPY</w:t>
            </w:r>
          </w:p>
        </w:tc>
        <w:tc>
          <w:tcPr>
            <w:tcW w:type="dxa" w:w="2211"/>
          </w:tcPr>
          <w:p>
            <w:r>
              <w:t>En cours</w:t>
            </w:r>
          </w:p>
        </w:tc>
        <w:tc>
          <w:tcPr>
            <w:tcW w:type="dxa" w:w="2211"/>
          </w:tcPr>
          <w:p>
            <w:r>
              <w:t>[OPL]</w:t>
            </w:r>
          </w:p>
        </w:tc>
      </w:tr>
      <w:tr>
        <w:tc>
          <w:tcPr>
            <w:tcW w:type="dxa" w:w="2211"/>
          </w:tcPr>
          <w:p>
            <w:r>
              <w:t>A3</w:t>
            </w:r>
          </w:p>
        </w:tc>
        <w:tc>
          <w:tcPr>
            <w:tcW w:type="dxa" w:w="2211"/>
          </w:tcPr>
          <w:p>
            <w:r>
              <w:t>Maintenir **film protecteur** jusqu’au poste 34 (poka‑yoke)</w:t>
            </w:r>
          </w:p>
        </w:tc>
        <w:tc>
          <w:tcPr>
            <w:tcW w:type="dxa" w:w="2211"/>
          </w:tcPr>
          <w:p>
            <w:r>
              <w:t>Prévention</w:t>
            </w:r>
          </w:p>
        </w:tc>
        <w:tc>
          <w:tcPr>
            <w:tcW w:type="dxa" w:w="2211"/>
          </w:tcPr>
          <w:p>
            <w:r>
              <w:t>Qualité</w:t>
            </w:r>
          </w:p>
        </w:tc>
        <w:tc>
          <w:tcPr>
            <w:tcW w:type="dxa" w:w="2211"/>
          </w:tcPr>
          <w:p>
            <w:r>
              <w:t>03/09/2025</w:t>
            </w:r>
          </w:p>
        </w:tc>
        <w:tc>
          <w:tcPr>
            <w:tcW w:type="dxa" w:w="2211"/>
          </w:tcPr>
          <w:p>
            <w:r>
              <w:t>Étiquettes + check</w:t>
            </w:r>
          </w:p>
        </w:tc>
        <w:tc>
          <w:tcPr>
            <w:tcW w:type="dxa" w:w="2211"/>
          </w:tcPr>
          <w:p>
            <w:r>
              <w:t>Oubli opér.</w:t>
            </w:r>
          </w:p>
        </w:tc>
        <w:tc>
          <w:tcPr>
            <w:tcW w:type="dxa" w:w="2211"/>
          </w:tcPr>
          <w:p>
            <w:r>
              <w:t>PPM rayure</w:t>
            </w:r>
          </w:p>
        </w:tc>
        <w:tc>
          <w:tcPr>
            <w:tcW w:type="dxa" w:w="2211"/>
          </w:tcPr>
          <w:p>
            <w:r>
              <w:t>En cours</w:t>
            </w:r>
          </w:p>
        </w:tc>
        <w:tc>
          <w:tcPr>
            <w:tcW w:type="dxa" w:w="2211"/>
          </w:tcPr>
          <w:p>
            <w:r>
              <w:t>[checklist]</w:t>
            </w:r>
          </w:p>
        </w:tc>
      </w:tr>
      <w:tr>
        <w:tc>
          <w:tcPr>
            <w:tcW w:type="dxa" w:w="2211"/>
          </w:tcPr>
          <w:p>
            <w:r>
              <w:t>A4</w:t>
            </w:r>
          </w:p>
        </w:tc>
        <w:tc>
          <w:tcPr>
            <w:tcW w:type="dxa" w:w="2211"/>
          </w:tcPr>
          <w:p>
            <w:r>
              <w:t>**Coins silicone** sur gabarit de pose</w:t>
            </w:r>
          </w:p>
        </w:tc>
        <w:tc>
          <w:tcPr>
            <w:tcW w:type="dxa" w:w="2211"/>
          </w:tcPr>
          <w:p>
            <w:r>
              <w:t>Prévention</w:t>
            </w:r>
          </w:p>
        </w:tc>
        <w:tc>
          <w:tcPr>
            <w:tcW w:type="dxa" w:w="2211"/>
          </w:tcPr>
          <w:p>
            <w:r>
              <w:t>Maintenance</w:t>
            </w:r>
          </w:p>
        </w:tc>
        <w:tc>
          <w:tcPr>
            <w:tcW w:type="dxa" w:w="2211"/>
          </w:tcPr>
          <w:p>
            <w:r>
              <w:t>12/09/2025</w:t>
            </w:r>
          </w:p>
        </w:tc>
        <w:tc>
          <w:tcPr>
            <w:tcW w:type="dxa" w:w="2211"/>
          </w:tcPr>
          <w:p>
            <w:r>
              <w:t>Kit silicone</w:t>
            </w:r>
          </w:p>
        </w:tc>
        <w:tc>
          <w:tcPr>
            <w:tcW w:type="dxa" w:w="2211"/>
          </w:tcPr>
          <w:p>
            <w:r>
              <w:t>Tenue</w:t>
            </w:r>
          </w:p>
        </w:tc>
        <w:tc>
          <w:tcPr>
            <w:tcW w:type="dxa" w:w="2211"/>
          </w:tcPr>
          <w:p>
            <w:r>
              <w:t>PPM rayure</w:t>
            </w:r>
          </w:p>
        </w:tc>
        <w:tc>
          <w:tcPr>
            <w:tcW w:type="dxa" w:w="2211"/>
          </w:tcPr>
          <w:p>
            <w:r>
              <w:t>À faire</w:t>
            </w:r>
          </w:p>
        </w:tc>
        <w:tc>
          <w:tcPr>
            <w:tcW w:type="dxa" w:w="2211"/>
          </w:tcPr>
          <w:p>
            <w:r>
              <w:t>[WO]</w:t>
            </w:r>
          </w:p>
        </w:tc>
      </w:tr>
      <w:tr>
        <w:tc>
          <w:tcPr>
            <w:tcW w:type="dxa" w:w="2211"/>
          </w:tcPr>
          <w:p>
            <w:r>
              <w:t>A5</w:t>
            </w:r>
          </w:p>
        </w:tc>
        <w:tc>
          <w:tcPr>
            <w:tcW w:type="dxa" w:w="2211"/>
          </w:tcPr>
          <w:p>
            <w:r>
              <w:t>Inspection **100 % temporaire** (2 semaines) S3→S4</w:t>
            </w:r>
          </w:p>
        </w:tc>
        <w:tc>
          <w:tcPr>
            <w:tcW w:type="dxa" w:w="2211"/>
          </w:tcPr>
          <w:p>
            <w:r>
              <w:t>Détection</w:t>
            </w:r>
          </w:p>
        </w:tc>
        <w:tc>
          <w:tcPr>
            <w:tcW w:type="dxa" w:w="2211"/>
          </w:tcPr>
          <w:p>
            <w:r>
              <w:t>Superviseur</w:t>
            </w:r>
          </w:p>
        </w:tc>
        <w:tc>
          <w:tcPr>
            <w:tcW w:type="dxa" w:w="2211"/>
          </w:tcPr>
          <w:p>
            <w:r>
              <w:t>02/09/2025</w:t>
            </w:r>
          </w:p>
        </w:tc>
        <w:tc>
          <w:tcPr>
            <w:tcW w:type="dxa" w:w="2211"/>
          </w:tcPr>
          <w:p>
            <w:r>
              <w:t>Check visuel</w:t>
            </w:r>
          </w:p>
        </w:tc>
        <w:tc>
          <w:tcPr>
            <w:tcW w:type="dxa" w:w="2211"/>
          </w:tcPr>
          <w:p>
            <w:r>
              <w:t>Charge</w:t>
            </w:r>
          </w:p>
        </w:tc>
        <w:tc>
          <w:tcPr>
            <w:tcW w:type="dxa" w:w="2211"/>
          </w:tcPr>
          <w:p>
            <w:r>
              <w:t>PPM hebdo</w:t>
            </w:r>
          </w:p>
        </w:tc>
        <w:tc>
          <w:tcPr>
            <w:tcW w:type="dxa" w:w="2211"/>
          </w:tcPr>
          <w:p>
            <w:r>
              <w:t>En cours</w:t>
            </w:r>
          </w:p>
        </w:tc>
        <w:tc>
          <w:tcPr>
            <w:tcW w:type="dxa" w:w="2211"/>
          </w:tcPr>
          <w:p>
            <w:r>
              <w:t>[fiche contrôle]</w:t>
            </w:r>
          </w:p>
        </w:tc>
      </w:tr>
      <w:tr>
        <w:tc>
          <w:tcPr>
            <w:tcW w:type="dxa" w:w="2211"/>
          </w:tcPr>
          <w:p>
            <w:r>
              <w:t>A6</w:t>
            </w:r>
          </w:p>
        </w:tc>
        <w:tc>
          <w:tcPr>
            <w:tcW w:type="dxa" w:w="2211"/>
          </w:tcPr>
          <w:p>
            <w:r>
              <w:t>**Audit 5S hebdo** + nettoyage racks</w:t>
            </w:r>
          </w:p>
        </w:tc>
        <w:tc>
          <w:tcPr>
            <w:tcW w:type="dxa" w:w="2211"/>
          </w:tcPr>
          <w:p>
            <w:r>
              <w:t>Prévention</w:t>
            </w:r>
          </w:p>
        </w:tc>
        <w:tc>
          <w:tcPr>
            <w:tcW w:type="dxa" w:w="2211"/>
          </w:tcPr>
          <w:p>
            <w:r>
              <w:t>Chef d’équipe</w:t>
            </w:r>
          </w:p>
        </w:tc>
        <w:tc>
          <w:tcPr>
            <w:tcW w:type="dxa" w:w="2211"/>
          </w:tcPr>
          <w:p>
            <w:r>
              <w:t>02/09/2025</w:t>
            </w:r>
          </w:p>
        </w:tc>
        <w:tc>
          <w:tcPr>
            <w:tcW w:type="dxa" w:w="2211"/>
          </w:tcPr>
          <w:p>
            <w:r>
              <w:t>Check 5S</w:t>
            </w:r>
          </w:p>
        </w:tc>
        <w:tc>
          <w:tcPr>
            <w:tcW w:type="dxa" w:w="2211"/>
          </w:tcPr>
          <w:p>
            <w:r>
              <w:t>Soutien</w:t>
            </w:r>
          </w:p>
        </w:tc>
        <w:tc>
          <w:tcPr>
            <w:tcW w:type="dxa" w:w="2211"/>
          </w:tcPr>
          <w:p>
            <w:r>
              <w:t>Near‑miss</w:t>
            </w:r>
          </w:p>
        </w:tc>
        <w:tc>
          <w:tcPr>
            <w:tcW w:type="dxa" w:w="2211"/>
          </w:tcPr>
          <w:p>
            <w:r>
              <w:t>À faire</w:t>
            </w:r>
          </w:p>
        </w:tc>
        <w:tc>
          <w:tcPr>
            <w:tcW w:type="dxa" w:w="2211"/>
          </w:tcPr>
          <w:p>
            <w:r>
              <w:t>[formulaire]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6) RÉSULTATS — AVANT / APRÈS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685"/>
        <w:gridCol w:w="3685"/>
        <w:gridCol w:w="3685"/>
        <w:gridCol w:w="3685"/>
        <w:gridCol w:w="3685"/>
        <w:gridCol w:w="3685"/>
      </w:tblGrid>
      <w:tr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Après (S1)</w:t>
            </w:r>
          </w:p>
        </w:tc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Après (S4)</w:t>
            </w:r>
          </w:p>
        </w:tc>
        <w:tc>
          <w:tcPr>
            <w:tcW w:type="dxa" w:w="3685"/>
            <w:shd w:val="clear" w:color="auto" w:fill="111827"/>
          </w:tcPr>
          <w:p>
            <w:r>
              <w:rPr>
                <w:b/>
                <w:color w:val="FFFFFF"/>
              </w:rPr>
              <w:t>Gain</w:t>
            </w:r>
          </w:p>
        </w:tc>
      </w:tr>
      <w:tr>
        <w:tc>
          <w:tcPr>
            <w:tcW w:type="dxa" w:w="3685"/>
          </w:tcPr>
          <w:p>
            <w:r>
              <w:t>PPM rayure</w:t>
            </w:r>
          </w:p>
        </w:tc>
        <w:tc>
          <w:tcPr>
            <w:tcW w:type="dxa" w:w="3685"/>
          </w:tcPr>
          <w:p>
            <w:r>
              <w:t>1 200</w:t>
            </w:r>
          </w:p>
        </w:tc>
        <w:tc>
          <w:tcPr>
            <w:tcW w:type="dxa" w:w="3685"/>
          </w:tcPr>
          <w:p>
            <w:r>
              <w:t>≤ 300</w:t>
            </w:r>
          </w:p>
        </w:tc>
        <w:tc>
          <w:tcPr>
            <w:tcW w:type="dxa" w:w="3685"/>
          </w:tcPr>
          <w:p>
            <w:r>
              <w:t>700</w:t>
            </w:r>
          </w:p>
        </w:tc>
        <w:tc>
          <w:tcPr>
            <w:tcW w:type="dxa" w:w="3685"/>
          </w:tcPr>
          <w:p>
            <w:r>
              <w:t>250</w:t>
            </w:r>
          </w:p>
        </w:tc>
        <w:tc>
          <w:tcPr>
            <w:tcW w:type="dxa" w:w="3685"/>
          </w:tcPr>
          <w:p>
            <w:r>
              <w:t>-79 % vs baseline</w:t>
            </w:r>
          </w:p>
        </w:tc>
      </w:tr>
      <w:tr>
        <w:tc>
          <w:tcPr>
            <w:tcW w:type="dxa" w:w="3685"/>
          </w:tcPr>
          <w:p>
            <w:r>
              <w:t>FPY (%)</w:t>
            </w:r>
          </w:p>
        </w:tc>
        <w:tc>
          <w:tcPr>
            <w:tcW w:type="dxa" w:w="3685"/>
          </w:tcPr>
          <w:p>
            <w:r>
              <w:t>88 %</w:t>
            </w:r>
          </w:p>
        </w:tc>
        <w:tc>
          <w:tcPr>
            <w:tcW w:type="dxa" w:w="3685"/>
          </w:tcPr>
          <w:p>
            <w:r>
              <w:t>≥ 97 %</w:t>
            </w:r>
          </w:p>
        </w:tc>
        <w:tc>
          <w:tcPr>
            <w:tcW w:type="dxa" w:w="3685"/>
          </w:tcPr>
          <w:p>
            <w:r>
              <w:t>93 %</w:t>
            </w:r>
          </w:p>
        </w:tc>
        <w:tc>
          <w:tcPr>
            <w:tcW w:type="dxa" w:w="3685"/>
          </w:tcPr>
          <w:p>
            <w:r>
              <w:t>97 %</w:t>
            </w:r>
          </w:p>
        </w:tc>
        <w:tc>
          <w:tcPr>
            <w:tcW w:type="dxa" w:w="3685"/>
          </w:tcPr>
          <w:p>
            <w:r>
              <w:t>+9 pts</w:t>
            </w:r>
          </w:p>
        </w:tc>
      </w:tr>
      <w:tr>
        <w:tc>
          <w:tcPr>
            <w:tcW w:type="dxa" w:w="3685"/>
          </w:tcPr>
          <w:p>
            <w:r>
              <w:t>Temps retouche (min)</w:t>
            </w:r>
          </w:p>
        </w:tc>
        <w:tc>
          <w:tcPr>
            <w:tcW w:type="dxa" w:w="3685"/>
          </w:tcPr>
          <w:p>
            <w:r>
              <w:t>25</w:t>
            </w:r>
          </w:p>
        </w:tc>
        <w:tc>
          <w:tcPr>
            <w:tcW w:type="dxa" w:w="3685"/>
          </w:tcPr>
          <w:p>
            <w:r>
              <w:t>≤ 10</w:t>
            </w:r>
          </w:p>
        </w:tc>
        <w:tc>
          <w:tcPr>
            <w:tcW w:type="dxa" w:w="3685"/>
          </w:tcPr>
          <w:p>
            <w:r>
              <w:t>16</w:t>
            </w:r>
          </w:p>
        </w:tc>
        <w:tc>
          <w:tcPr>
            <w:tcW w:type="dxa" w:w="3685"/>
          </w:tcPr>
          <w:p>
            <w:r>
              <w:t>9</w:t>
            </w:r>
          </w:p>
        </w:tc>
        <w:tc>
          <w:tcPr>
            <w:tcW w:type="dxa" w:w="3685"/>
          </w:tcPr>
          <w:p>
            <w:r>
              <w:t>-64 %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7) STANDARDISATION &amp; SUIVI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  <w:shd w:val="clear" w:color="auto" w:fill="F3F4F6"/>
          </w:tcPr>
          <w:p>
            <w:r>
              <w:t>Standards mis à jour (SOP/OPL)</w:t>
            </w:r>
          </w:p>
        </w:tc>
        <w:tc>
          <w:tcPr>
            <w:tcW w:type="dxa" w:w="11055"/>
          </w:tcPr>
          <w:p>
            <w:r>
              <w:t>OPL‑MAN‑CAPOT‑01, SOP‑ASM‑CAPOT v2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Plan de vérification (audit/contrôle)</w:t>
            </w:r>
          </w:p>
        </w:tc>
        <w:tc>
          <w:tcPr>
            <w:tcW w:type="dxa" w:w="11055"/>
          </w:tcPr>
          <w:p>
            <w:r>
              <w:t>LPA hebdo ; contrôle visuel poste 34 (4 semaines)</w:t>
            </w:r>
          </w:p>
        </w:tc>
      </w:tr>
      <w:tr>
        <w:tc>
          <w:tcPr>
            <w:tcW w:type="dxa" w:w="11055"/>
            <w:shd w:val="clear" w:color="auto" w:fill="F3F4F6"/>
          </w:tcPr>
          <w:p>
            <w:r>
              <w:t>Yokoten (déploiement horizontal)</w:t>
            </w:r>
          </w:p>
        </w:tc>
        <w:tc>
          <w:tcPr>
            <w:tcW w:type="dxa" w:w="11055"/>
          </w:tcPr>
          <w:p>
            <w:r>
              <w:t>Ligne B après S4 si PPM ≤ 300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111"/>
      </w:tblGrid>
      <w:tr>
        <w:tc>
          <w:tcPr>
            <w:tcW w:type="dxa" w:w="22111"/>
            <w:shd w:val="clear" w:color="auto" w:fill="111827"/>
          </w:tcPr>
          <w:p>
            <w:r>
              <w:rPr>
                <w:b/>
                <w:color w:val="FFFFFF"/>
                <w:sz w:val="24"/>
              </w:rPr>
              <w:t>8) APPRENTISSAGES &amp; PROCHAINES ÉTAPES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55"/>
        <w:gridCol w:w="11055"/>
      </w:tblGrid>
      <w:tr>
        <w:tc>
          <w:tcPr>
            <w:tcW w:type="dxa" w:w="11055"/>
          </w:tcPr>
          <w:p>
            <w:r>
              <w:t>Leçons apprises : Standard + protection &gt; inspection ; petit investissement, gros effet.</w:t>
            </w:r>
          </w:p>
        </w:tc>
        <w:tc>
          <w:tcPr>
            <w:tcW w:type="dxa" w:w="11055"/>
          </w:tcPr>
          <w:p>
            <w:r>
              <w:t>Risques : relâchement post S2 ; réapparition si mix augmente (premium).</w:t>
            </w:r>
          </w:p>
        </w:tc>
      </w:tr>
      <w:tr>
        <w:tc>
          <w:tcPr>
            <w:tcW w:type="dxa" w:w="11055"/>
          </w:tcPr>
          <w:p>
            <w:r>
              <w:t>30/60/90 j : Semaine 2 revue ; Semaine 4 validation ; Semaine 8 Yokoten.</w:t>
            </w:r>
          </w:p>
        </w:tc>
        <w:tc>
          <w:tcPr>
            <w:tcW w:type="dxa" w:w="11055"/>
          </w:tcPr>
          <w:p>
            <w:r>
              <w:t>Escalades : budget convoyeur S3 ; remplacement gabarit Q4.</w:t>
            </w:r>
          </w:p>
        </w:tc>
      </w:tr>
    </w:tbl>
    <w:sectPr w:rsidR="00FC693F" w:rsidRPr="0006063C" w:rsidSect="00034616">
      <w:footerReference w:type="default" r:id="rId9"/>
      <w:pgSz w:w="23811" w:h="16838" w:orient="landscape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065F46"/>
        <w:sz w:val="16"/>
      </w:rPr>
      <w:t>A3-ProblemSolving-Rayures-LigneA-v1.0 — Exemple pré-rempli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