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📘</w:t>
      </w:r>
      <w:r>
        <w:t xml:space="preserve"> </w:t>
      </w:r>
      <w:r>
        <w:rPr>
          <w:b/>
          <w:bCs/>
        </w:rPr>
        <w:t xml:space="preserve">PLAN DE FORMATION COMMERCIALE – MODÈLE STRUCTURÉ</w:t>
      </w:r>
    </w:p>
    <w:p>
      <w:r>
        <w:pict>
          <v:rect style="width:0;height:1.5pt" o:hralign="center" o:hrstd="t" o:hr="t"/>
        </w:pict>
      </w:r>
    </w:p>
    <w:bookmarkStart w:id="20" w:name="informations-générales"/>
    <w:p>
      <w:pPr>
        <w:pStyle w:val="Heading3"/>
      </w:pPr>
      <w:r>
        <w:t xml:space="preserve">1. INFORMATIONS GÉNÉRALES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459"/>
        <w:gridCol w:w="44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Intitulé du parcours</w:t>
            </w:r>
          </w:p>
        </w:tc>
        <w:tc>
          <w:tcPr/>
          <w:p>
            <w:pPr>
              <w:pStyle w:val="Compact"/>
            </w:pPr>
            <w:r>
              <w:t xml:space="preserve">Formation Commerciale B2B / B2C</w:t>
            </w:r>
          </w:p>
        </w:tc>
      </w:tr>
      <w:tr>
        <w:tc>
          <w:tcPr/>
          <w:p>
            <w:pPr>
              <w:pStyle w:val="Compact"/>
            </w:pPr>
            <w:r>
              <w:t xml:space="preserve">Public concerné</w:t>
            </w:r>
          </w:p>
        </w:tc>
        <w:tc>
          <w:tcPr/>
          <w:p>
            <w:pPr>
              <w:pStyle w:val="Compact"/>
            </w:pPr>
            <w:r>
              <w:t xml:space="preserve">Commerciaux, SDR, technico-commerciaux</w:t>
            </w:r>
          </w:p>
        </w:tc>
      </w:tr>
      <w:tr>
        <w:tc>
          <w:tcPr/>
          <w:p>
            <w:pPr>
              <w:pStyle w:val="Compact"/>
            </w:pPr>
            <w:r>
              <w:t xml:space="preserve">Objectifs globaux</w:t>
            </w:r>
          </w:p>
        </w:tc>
        <w:tc>
          <w:tcPr/>
          <w:p>
            <w:pPr>
              <w:pStyle w:val="Compact"/>
            </w:pPr>
            <w:r>
              <w:t xml:space="preserve">Améliorer la performance commerciale terrain</w:t>
            </w:r>
          </w:p>
        </w:tc>
      </w:tr>
      <w:tr>
        <w:tc>
          <w:tcPr/>
          <w:p>
            <w:pPr>
              <w:pStyle w:val="Compact"/>
            </w:pPr>
            <w:r>
              <w:t xml:space="preserve">Durée totale</w:t>
            </w:r>
          </w:p>
        </w:tc>
        <w:tc>
          <w:tcPr/>
          <w:p>
            <w:pPr>
              <w:pStyle w:val="Compact"/>
            </w:pPr>
            <w:r>
              <w:t xml:space="preserve">[Ex : 21h (3 jours)]</w:t>
            </w:r>
          </w:p>
        </w:tc>
      </w:tr>
      <w:tr>
        <w:tc>
          <w:tcPr/>
          <w:p>
            <w:pPr>
              <w:pStyle w:val="Compact"/>
            </w:pPr>
            <w:r>
              <w:t xml:space="preserve">Modalités pédagogiques</w:t>
            </w:r>
          </w:p>
        </w:tc>
        <w:tc>
          <w:tcPr/>
          <w:p>
            <w:pPr>
              <w:pStyle w:val="Compact"/>
            </w:pPr>
            <w:r>
              <w:t xml:space="preserve">Présentiel / distanciel / blended</w:t>
            </w:r>
          </w:p>
        </w:tc>
      </w:tr>
      <w:tr>
        <w:tc>
          <w:tcPr/>
          <w:p>
            <w:pPr>
              <w:pStyle w:val="Compact"/>
            </w:pPr>
            <w:r>
              <w:t xml:space="preserve">Intervenant(s)</w:t>
            </w:r>
          </w:p>
        </w:tc>
        <w:tc>
          <w:tcPr/>
          <w:p>
            <w:pPr>
              <w:pStyle w:val="Compact"/>
            </w:pPr>
            <w:r>
              <w:t xml:space="preserve">Formateur expert en vente / Coach professionnel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0"/>
    <w:bookmarkStart w:id="21" w:name="objectifs-pédagogiques"/>
    <w:p>
      <w:pPr>
        <w:pStyle w:val="Heading3"/>
      </w:pPr>
      <w:r>
        <w:t xml:space="preserve">2. OBJECTIFS PÉDAGOGIQUES</w:t>
      </w:r>
    </w:p>
    <w:p>
      <w:pPr>
        <w:pStyle w:val="Compact"/>
        <w:numPr>
          <w:ilvl w:val="0"/>
          <w:numId w:val="1001"/>
        </w:numPr>
      </w:pPr>
      <w:r>
        <w:t xml:space="preserve">Savoir conduire un entretien de vente complet</w:t>
      </w:r>
    </w:p>
    <w:p>
      <w:pPr>
        <w:pStyle w:val="Compact"/>
        <w:numPr>
          <w:ilvl w:val="0"/>
          <w:numId w:val="1001"/>
        </w:numPr>
      </w:pPr>
      <w:r>
        <w:t xml:space="preserve">Identifier et qualifier les besoins du client</w:t>
      </w:r>
    </w:p>
    <w:p>
      <w:pPr>
        <w:pStyle w:val="Compact"/>
        <w:numPr>
          <w:ilvl w:val="0"/>
          <w:numId w:val="1001"/>
        </w:numPr>
      </w:pPr>
      <w:r>
        <w:t xml:space="preserve">Gérer les objections avec méthode</w:t>
      </w:r>
    </w:p>
    <w:p>
      <w:pPr>
        <w:pStyle w:val="Compact"/>
        <w:numPr>
          <w:ilvl w:val="0"/>
          <w:numId w:val="1001"/>
        </w:numPr>
      </w:pPr>
      <w:r>
        <w:t xml:space="preserve">Maîtriser la conclusion de la vente et la relance commerciale</w:t>
      </w:r>
    </w:p>
    <w:p>
      <w:r>
        <w:pict>
          <v:rect style="width:0;height:1.5pt" o:hralign="center" o:hrstd="t" o:hr="t"/>
        </w:pict>
      </w:r>
    </w:p>
    <w:bookmarkEnd w:id="21"/>
    <w:bookmarkStart w:id="22" w:name="compétences-visées"/>
    <w:p>
      <w:pPr>
        <w:pStyle w:val="Heading3"/>
      </w:pPr>
      <w:r>
        <w:t xml:space="preserve">3. COMPÉTENCES VISÉES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288"/>
        <w:gridCol w:w="5632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Domaine de compétence</w:t>
            </w:r>
          </w:p>
        </w:tc>
        <w:tc>
          <w:tcPr/>
          <w:p>
            <w:pPr>
              <w:pStyle w:val="Compact"/>
            </w:pPr>
            <w:r>
              <w:t xml:space="preserve">Compétences opérationnelles développées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Vente &amp; négociation</w:t>
            </w:r>
          </w:p>
        </w:tc>
        <w:tc>
          <w:tcPr/>
          <w:p>
            <w:pPr>
              <w:pStyle w:val="Compact"/>
            </w:pPr>
            <w:r>
              <w:t xml:space="preserve">Argumenter une offre, conclure efficacement</w:t>
            </w:r>
          </w:p>
        </w:tc>
      </w:tr>
      <w:tr>
        <w:tc>
          <w:tcPr/>
          <w:p>
            <w:pPr>
              <w:pStyle w:val="Compact"/>
            </w:pPr>
            <w:r>
              <w:t xml:space="preserve">Prospection &amp; relation</w:t>
            </w:r>
          </w:p>
        </w:tc>
        <w:tc>
          <w:tcPr/>
          <w:p>
            <w:pPr>
              <w:pStyle w:val="Compact"/>
            </w:pPr>
            <w:r>
              <w:t xml:space="preserve">Structurer sa prospection et qualifier ses leads</w:t>
            </w:r>
          </w:p>
        </w:tc>
      </w:tr>
      <w:tr>
        <w:tc>
          <w:tcPr/>
          <w:p>
            <w:pPr>
              <w:pStyle w:val="Compact"/>
            </w:pPr>
            <w:r>
              <w:t xml:space="preserve">Posture commerciale</w:t>
            </w:r>
          </w:p>
        </w:tc>
        <w:tc>
          <w:tcPr/>
          <w:p>
            <w:pPr>
              <w:pStyle w:val="Compact"/>
            </w:pPr>
            <w:r>
              <w:t xml:space="preserve">Développer l’écoute active et l’assertivité</w:t>
            </w:r>
          </w:p>
        </w:tc>
      </w:tr>
      <w:tr>
        <w:tc>
          <w:tcPr/>
          <w:p>
            <w:pPr>
              <w:pStyle w:val="Compact"/>
            </w:pPr>
            <w:r>
              <w:t xml:space="preserve">Analyse &amp; préparation</w:t>
            </w:r>
          </w:p>
        </w:tc>
        <w:tc>
          <w:tcPr/>
          <w:p>
            <w:pPr>
              <w:pStyle w:val="Compact"/>
            </w:pPr>
            <w:r>
              <w:t xml:space="preserve">Utiliser des grilles de ciblage et de stratégie d’approche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2"/>
    <w:bookmarkStart w:id="23" w:name="contenu-détaillé-par-module"/>
    <w:p>
      <w:pPr>
        <w:pStyle w:val="Heading3"/>
      </w:pPr>
      <w:r>
        <w:t xml:space="preserve">4. CONTENU DÉTAILLÉ PAR MODULE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764"/>
        <w:gridCol w:w="2184"/>
        <w:gridCol w:w="436"/>
        <w:gridCol w:w="2840"/>
        <w:gridCol w:w="1693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Module</w:t>
            </w:r>
          </w:p>
        </w:tc>
        <w:tc>
          <w:tcPr/>
          <w:p>
            <w:pPr>
              <w:pStyle w:val="Compact"/>
            </w:pPr>
            <w:r>
              <w:t xml:space="preserve">Thématique</w:t>
            </w:r>
          </w:p>
        </w:tc>
        <w:tc>
          <w:tcPr/>
          <w:p>
            <w:pPr>
              <w:pStyle w:val="Compact"/>
            </w:pPr>
            <w:r>
              <w:t xml:space="preserve">Durée</w:t>
            </w:r>
          </w:p>
        </w:tc>
        <w:tc>
          <w:tcPr/>
          <w:p>
            <w:pPr>
              <w:pStyle w:val="Compact"/>
            </w:pPr>
            <w:r>
              <w:t xml:space="preserve">Objectifs spécifiques</w:t>
            </w:r>
          </w:p>
        </w:tc>
        <w:tc>
          <w:tcPr/>
          <w:p>
            <w:pPr>
              <w:pStyle w:val="Compact"/>
            </w:pPr>
            <w:r>
              <w:t xml:space="preserve">Méthodes utilisées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Module 1</w:t>
            </w:r>
          </w:p>
        </w:tc>
        <w:tc>
          <w:tcPr/>
          <w:p>
            <w:pPr>
              <w:pStyle w:val="Compact"/>
            </w:pPr>
            <w:r>
              <w:t xml:space="preserve">La posture commerciale</w:t>
            </w:r>
          </w:p>
        </w:tc>
        <w:tc>
          <w:tcPr/>
          <w:p>
            <w:pPr>
              <w:pStyle w:val="Compact"/>
            </w:pPr>
            <w:r>
              <w:t xml:space="preserve">3h</w:t>
            </w:r>
          </w:p>
        </w:tc>
        <w:tc>
          <w:tcPr/>
          <w:p>
            <w:pPr>
              <w:pStyle w:val="Compact"/>
            </w:pPr>
            <w:r>
              <w:t xml:space="preserve">Adopter un état d’esprit orienté client</w:t>
            </w:r>
          </w:p>
        </w:tc>
        <w:tc>
          <w:tcPr/>
          <w:p>
            <w:pPr>
              <w:pStyle w:val="Compact"/>
            </w:pPr>
            <w:r>
              <w:t xml:space="preserve">Apports + mises en situation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Module 2</w:t>
            </w:r>
          </w:p>
        </w:tc>
        <w:tc>
          <w:tcPr/>
          <w:p>
            <w:pPr>
              <w:pStyle w:val="Compact"/>
            </w:pPr>
            <w:r>
              <w:t xml:space="preserve">Prospection efficace</w:t>
            </w:r>
          </w:p>
        </w:tc>
        <w:tc>
          <w:tcPr/>
          <w:p>
            <w:pPr>
              <w:pStyle w:val="Compact"/>
            </w:pPr>
            <w:r>
              <w:t xml:space="preserve">3h</w:t>
            </w:r>
          </w:p>
        </w:tc>
        <w:tc>
          <w:tcPr/>
          <w:p>
            <w:pPr>
              <w:pStyle w:val="Compact"/>
            </w:pPr>
            <w:r>
              <w:t xml:space="preserve">Préparer, cibler et structurer sa démarche</w:t>
            </w:r>
          </w:p>
        </w:tc>
        <w:tc>
          <w:tcPr/>
          <w:p>
            <w:pPr>
              <w:pStyle w:val="Compact"/>
            </w:pPr>
            <w:r>
              <w:t xml:space="preserve">Jeux de rôle, cas pratiques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Module 3</w:t>
            </w:r>
          </w:p>
        </w:tc>
        <w:tc>
          <w:tcPr/>
          <w:p>
            <w:pPr>
              <w:pStyle w:val="Compact"/>
            </w:pPr>
            <w:r>
              <w:t xml:space="preserve">Conduite d’entretien de vente</w:t>
            </w:r>
          </w:p>
        </w:tc>
        <w:tc>
          <w:tcPr/>
          <w:p>
            <w:pPr>
              <w:pStyle w:val="Compact"/>
            </w:pPr>
            <w:r>
              <w:t xml:space="preserve">6h</w:t>
            </w:r>
          </w:p>
        </w:tc>
        <w:tc>
          <w:tcPr/>
          <w:p>
            <w:pPr>
              <w:pStyle w:val="Compact"/>
            </w:pPr>
            <w:r>
              <w:t xml:space="preserve">Découverte, reformulation, argumentation</w:t>
            </w:r>
          </w:p>
        </w:tc>
        <w:tc>
          <w:tcPr/>
          <w:p>
            <w:pPr>
              <w:pStyle w:val="Compact"/>
            </w:pPr>
            <w:r>
              <w:t xml:space="preserve">Simulations + coaching</w:t>
            </w:r>
          </w:p>
        </w:tc>
      </w:tr>
      <w:tr>
        <w:tc>
          <w:tcPr/>
          <w:p>
            <w:pPr>
              <w:pStyle w:val="Compact"/>
            </w:pPr>
            <w:r>
              <w:t xml:space="preserve">Module 4</w:t>
            </w:r>
          </w:p>
        </w:tc>
        <w:tc>
          <w:tcPr/>
          <w:p>
            <w:pPr>
              <w:pStyle w:val="Compact"/>
            </w:pPr>
            <w:r>
              <w:t xml:space="preserve">Traiter les objections</w:t>
            </w:r>
          </w:p>
        </w:tc>
        <w:tc>
          <w:tcPr/>
          <w:p>
            <w:pPr>
              <w:pStyle w:val="Compact"/>
            </w:pPr>
            <w:r>
              <w:t xml:space="preserve">3h</w:t>
            </w:r>
          </w:p>
        </w:tc>
        <w:tc>
          <w:tcPr/>
          <w:p>
            <w:pPr>
              <w:pStyle w:val="Compact"/>
            </w:pPr>
            <w:r>
              <w:t xml:space="preserve">Méthode CAP/Soncas, gestion des résistances</w:t>
            </w:r>
          </w:p>
        </w:tc>
        <w:tc>
          <w:tcPr/>
          <w:p>
            <w:pPr>
              <w:pStyle w:val="Compact"/>
            </w:pPr>
            <w:r>
              <w:t xml:space="preserve">Atelier interactif</w:t>
            </w:r>
          </w:p>
        </w:tc>
      </w:tr>
      <w:tr>
        <w:tc>
          <w:tcPr/>
          <w:p>
            <w:pPr>
              <w:pStyle w:val="Compact"/>
            </w:pPr>
            <w:r>
              <w:t xml:space="preserve">Module 5</w:t>
            </w:r>
          </w:p>
        </w:tc>
        <w:tc>
          <w:tcPr/>
          <w:p>
            <w:pPr>
              <w:pStyle w:val="Compact"/>
            </w:pPr>
            <w:r>
              <w:t xml:space="preserve">Conclure et relancer</w:t>
            </w:r>
          </w:p>
        </w:tc>
        <w:tc>
          <w:tcPr/>
          <w:p>
            <w:pPr>
              <w:pStyle w:val="Compact"/>
            </w:pPr>
            <w:r>
              <w:t xml:space="preserve">3h</w:t>
            </w:r>
          </w:p>
        </w:tc>
        <w:tc>
          <w:tcPr/>
          <w:p>
            <w:pPr>
              <w:pStyle w:val="Compact"/>
            </w:pPr>
            <w:r>
              <w:t xml:space="preserve">Techniques de closing et suivi post-entretien</w:t>
            </w:r>
          </w:p>
        </w:tc>
        <w:tc>
          <w:tcPr/>
          <w:p>
            <w:pPr>
              <w:pStyle w:val="Compact"/>
            </w:pPr>
            <w:r>
              <w:t xml:space="preserve">Étude de cas + pitch individuel</w:t>
            </w:r>
          </w:p>
        </w:tc>
      </w:tr>
      <w:tr>
        <w:tc>
          <w:tcPr/>
          <w:p>
            <w:pPr>
              <w:pStyle w:val="Compact"/>
            </w:pPr>
            <w:r>
              <w:t xml:space="preserve">Module 6</w:t>
            </w:r>
          </w:p>
        </w:tc>
        <w:tc>
          <w:tcPr/>
          <w:p>
            <w:pPr>
              <w:pStyle w:val="Compact"/>
            </w:pPr>
            <w:r>
              <w:t xml:space="preserve">Bilan et plan d’action personnalisé</w:t>
            </w:r>
          </w:p>
        </w:tc>
        <w:tc>
          <w:tcPr/>
          <w:p>
            <w:pPr>
              <w:pStyle w:val="Compact"/>
            </w:pPr>
            <w:r>
              <w:t xml:space="preserve">3h</w:t>
            </w:r>
          </w:p>
        </w:tc>
        <w:tc>
          <w:tcPr/>
          <w:p>
            <w:pPr>
              <w:pStyle w:val="Compact"/>
            </w:pPr>
            <w:r>
              <w:t xml:space="preserve">Construire son plan de progrès commercial</w:t>
            </w:r>
          </w:p>
        </w:tc>
        <w:tc>
          <w:tcPr/>
          <w:p>
            <w:pPr>
              <w:pStyle w:val="Compact"/>
            </w:pPr>
            <w:r>
              <w:t xml:space="preserve">Coaching + support individuel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3"/>
    <w:bookmarkStart w:id="24" w:name="modalités-dévaluation"/>
    <w:p>
      <w:pPr>
        <w:pStyle w:val="Heading3"/>
      </w:pPr>
      <w:r>
        <w:t xml:space="preserve">5. MODALITÉS D’ÉVALUATION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015"/>
        <w:gridCol w:w="3384"/>
        <w:gridCol w:w="252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Type d’évaluation</w:t>
            </w:r>
          </w:p>
        </w:tc>
        <w:tc>
          <w:tcPr/>
          <w:p>
            <w:pPr>
              <w:pStyle w:val="Compact"/>
            </w:pPr>
            <w:r>
              <w:t xml:space="preserve">Critères observés</w:t>
            </w:r>
          </w:p>
        </w:tc>
        <w:tc>
          <w:tcPr/>
          <w:p>
            <w:pPr>
              <w:pStyle w:val="Compact"/>
            </w:pPr>
            <w:r>
              <w:t xml:space="preserve">Outils utilisés</w:t>
            </w:r>
          </w:p>
        </w:tc>
      </w:tr>
      <w:tr>
        <w:tc>
          <w:tcPr/>
          <w:p>
            <w:pPr>
              <w:pStyle w:val="Compact"/>
            </w:pPr>
            <w:r>
              <w:t xml:space="preserve">Initiale (diagnostic)</w:t>
            </w:r>
          </w:p>
        </w:tc>
        <w:tc>
          <w:tcPr/>
          <w:p>
            <w:pPr>
              <w:pStyle w:val="Compact"/>
            </w:pPr>
            <w:r>
              <w:t xml:space="preserve">Connaissances commerciales de base</w:t>
            </w:r>
          </w:p>
        </w:tc>
        <w:tc>
          <w:tcPr/>
          <w:p>
            <w:pPr>
              <w:pStyle w:val="Compact"/>
            </w:pPr>
            <w:r>
              <w:t xml:space="preserve">QCM en ligne / oral</w:t>
            </w:r>
          </w:p>
        </w:tc>
      </w:tr>
      <w:tr>
        <w:tc>
          <w:tcPr/>
          <w:p>
            <w:pPr>
              <w:pStyle w:val="Compact"/>
            </w:pPr>
            <w:r>
              <w:t xml:space="preserve">Formative</w:t>
            </w:r>
          </w:p>
        </w:tc>
        <w:tc>
          <w:tcPr/>
          <w:p>
            <w:pPr>
              <w:pStyle w:val="Compact"/>
            </w:pPr>
            <w:r>
              <w:t xml:space="preserve">Progression dans les simulations</w:t>
            </w:r>
          </w:p>
        </w:tc>
        <w:tc>
          <w:tcPr/>
          <w:p>
            <w:pPr>
              <w:pStyle w:val="Compact"/>
            </w:pPr>
            <w:r>
              <w:t xml:space="preserve">Grilles d’observation / débriefs</w:t>
            </w:r>
          </w:p>
        </w:tc>
      </w:tr>
      <w:tr>
        <w:tc>
          <w:tcPr/>
          <w:p>
            <w:pPr>
              <w:pStyle w:val="Compact"/>
            </w:pPr>
            <w:r>
              <w:t xml:space="preserve">Sommative (finale)</w:t>
            </w:r>
          </w:p>
        </w:tc>
        <w:tc>
          <w:tcPr/>
          <w:p>
            <w:pPr>
              <w:pStyle w:val="Compact"/>
            </w:pPr>
            <w:r>
              <w:t xml:space="preserve">Qualité du pitch / cohérence du plan d’action</w:t>
            </w:r>
          </w:p>
        </w:tc>
        <w:tc>
          <w:tcPr/>
          <w:p>
            <w:pPr>
              <w:pStyle w:val="Compact"/>
            </w:pPr>
            <w:r>
              <w:t xml:space="preserve">Grille de performance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4"/>
    <w:bookmarkStart w:id="25" w:name="ressources-supports"/>
    <w:p>
      <w:pPr>
        <w:pStyle w:val="Heading3"/>
      </w:pPr>
      <w:r>
        <w:t xml:space="preserve">6. RESSOURCES &amp; SUPPORTS</w:t>
      </w:r>
    </w:p>
    <w:p>
      <w:pPr>
        <w:pStyle w:val="Compact"/>
        <w:numPr>
          <w:ilvl w:val="0"/>
          <w:numId w:val="1002"/>
        </w:numPr>
      </w:pPr>
      <w:r>
        <w:t xml:space="preserve">Fiche outil : techniques de questionnement et d’écoute active</w:t>
      </w:r>
    </w:p>
    <w:p>
      <w:pPr>
        <w:pStyle w:val="Compact"/>
        <w:numPr>
          <w:ilvl w:val="0"/>
          <w:numId w:val="1002"/>
        </w:numPr>
      </w:pPr>
      <w:r>
        <w:t xml:space="preserve">Modèle de plan de découverte client</w:t>
      </w:r>
    </w:p>
    <w:p>
      <w:pPr>
        <w:pStyle w:val="Compact"/>
        <w:numPr>
          <w:ilvl w:val="0"/>
          <w:numId w:val="1002"/>
        </w:numPr>
      </w:pPr>
      <w:r>
        <w:t xml:space="preserve">Vidéos de mises en situation commerciales</w:t>
      </w:r>
    </w:p>
    <w:p>
      <w:pPr>
        <w:pStyle w:val="Compact"/>
        <w:numPr>
          <w:ilvl w:val="0"/>
          <w:numId w:val="1002"/>
        </w:numPr>
      </w:pPr>
      <w:r>
        <w:t xml:space="preserve">Support PPT remis aux stagiaires</w:t>
      </w:r>
    </w:p>
    <w:p>
      <w:pPr>
        <w:pStyle w:val="Compact"/>
        <w:numPr>
          <w:ilvl w:val="0"/>
          <w:numId w:val="1002"/>
        </w:numPr>
      </w:pPr>
      <w:r>
        <w:t xml:space="preserve">Plan d’action individuel à compléter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Souhaitez-vous obtenir une</w:t>
      </w:r>
      <w:r>
        <w:t xml:space="preserve"> </w:t>
      </w:r>
      <w:r>
        <w:rPr>
          <w:b/>
          <w:bCs/>
        </w:rPr>
        <w:t xml:space="preserve">version Word à remplir</w:t>
      </w:r>
      <w:r>
        <w:t xml:space="preserve"> </w:t>
      </w:r>
      <w:r>
        <w:t xml:space="preserve">ou l’adapter à une</w:t>
      </w:r>
      <w:r>
        <w:t xml:space="preserve"> </w:t>
      </w:r>
      <w:r>
        <w:rPr>
          <w:b/>
          <w:bCs/>
        </w:rPr>
        <w:t xml:space="preserve">offre CPF / Qualiopi</w:t>
      </w:r>
      <w:r>
        <w:t xml:space="preserve"> </w:t>
      </w:r>
      <w:r>
        <w:t xml:space="preserve">?</w:t>
      </w:r>
    </w:p>
    <w:bookmarkEnd w:id="25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2025-07-20T02:04:17Z</dcterms:created>
  <dcterms:modified xsi:type="dcterms:W3CDTF">2025-07-20T02:04:17Z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