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5275"/>
        <w:gridCol w:w="5275"/>
        <w:gridCol w:w="5275"/>
      </w:tblGrid>
      <w:tr>
        <w:tc>
          <w:tcPr>
            <w:tcW w:type="dxa" w:w="7343"/>
            <w:shd w:fill="0B1F3A"/>
            <w:tcBorders>
              <w:top w:val="single" w:sz="8" w:space="0" w:color="0B1F3A"/>
              <w:left w:val="single" w:sz="8" w:space="0" w:color="0B1F3A"/>
              <w:bottom w:val="single" w:sz="8" w:space="0" w:color="0B1F3A"/>
              <w:right w:val="single" w:sz="8" w:space="0" w:color="0B1F3A"/>
              <w:insideH w:val="single" w:sz="8" w:space="0" w:color="0B1F3A"/>
              <w:insideV w:val="single" w:sz="8" w:space="0" w:color="0B1F3A"/>
            </w:tcBorders>
            <w:vAlign w:val="center"/>
          </w:tcPr>
          <w:p>
            <w:pPr>
              <w:spacing w:after="0" w:line="240" w:lineRule="auto" w:before="0"/>
            </w:pPr>
            <w:r>
              <w:rPr>
                <w:rFonts w:ascii="Aptos Display" w:hAnsi="Aptos Display"/>
                <w:b/>
                <w:color w:val="FFFFFF"/>
                <w:sz w:val="36"/>
              </w:rPr>
              <w:t>PLAN D’ACTION STRATÉGIQUE ONE PAGE</w:t>
            </w:r>
            <w:r>
              <w:rPr>
                <w:color w:val="CDE1FF"/>
                <w:sz w:val="17"/>
              </w:rPr>
              <w:br/>
              <w:t>Direction commerciale • Horizon 90 jours</w:t>
            </w:r>
          </w:p>
        </w:tc>
        <w:tc>
          <w:tcPr>
            <w:tcW w:type="dxa" w:w="4320"/>
            <w:shd w:fill="0B1F3A"/>
            <w:tcBorders>
              <w:top w:val="single" w:sz="8" w:space="0" w:color="0B1F3A"/>
              <w:left w:val="single" w:sz="8" w:space="0" w:color="0B1F3A"/>
              <w:bottom w:val="single" w:sz="8" w:space="0" w:color="0B1F3A"/>
              <w:right w:val="single" w:sz="8" w:space="0" w:color="0B1F3A"/>
              <w:insideH w:val="single" w:sz="8" w:space="0" w:color="0B1F3A"/>
              <w:insideV w:val="single" w:sz="8" w:space="0" w:color="0B1F3A"/>
            </w:tcBorders>
            <w:vAlign w:val="center"/>
          </w:tcPr>
          <w:p>
            <w:pPr>
              <w:spacing w:after="0" w:before="0" w:line="240" w:lineRule="auto"/>
              <w:jc w:val="center"/>
            </w:pPr>
            <w:r>
              <w:rPr>
                <w:rFonts w:ascii="Aptos" w:hAnsi="Aptos"/>
                <w:b/>
                <w:color w:val="FFFFFF"/>
                <w:sz w:val="20"/>
              </w:rPr>
              <w:t>Objectif prioritaire</w:t>
              <w:br/>
              <w:t>Accélérer la croissance rentable</w:t>
            </w:r>
          </w:p>
        </w:tc>
        <w:tc>
          <w:tcPr>
            <w:tcW w:type="dxa" w:w="3888"/>
            <w:shd w:fill="0B1F3A"/>
            <w:tcBorders>
              <w:top w:val="single" w:sz="8" w:space="0" w:color="0B1F3A"/>
              <w:left w:val="single" w:sz="8" w:space="0" w:color="0B1F3A"/>
              <w:bottom w:val="single" w:sz="8" w:space="0" w:color="0B1F3A"/>
              <w:right w:val="single" w:sz="8" w:space="0" w:color="0B1F3A"/>
              <w:insideH w:val="single" w:sz="8" w:space="0" w:color="0B1F3A"/>
              <w:insideV w:val="single" w:sz="8" w:space="0" w:color="0B1F3A"/>
            </w:tcBorders>
            <w:vAlign w:val="center"/>
          </w:tcPr>
          <w:p>
            <w:pPr>
              <w:spacing w:after="0" w:before="0" w:line="240" w:lineRule="auto"/>
              <w:jc w:val="center"/>
            </w:pPr>
            <w:r>
              <w:rPr>
                <w:rFonts w:ascii="Aptos" w:hAnsi="Aptos"/>
                <w:b/>
                <w:color w:val="FFFFFF"/>
                <w:sz w:val="20"/>
              </w:rPr>
              <w:t>Période</w:t>
              <w:br/>
              <w:t>Mai – Juillet 2026</w:t>
            </w:r>
          </w:p>
        </w:tc>
      </w:tr>
    </w:tbl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3956"/>
        <w:gridCol w:w="3956"/>
        <w:gridCol w:w="3956"/>
        <w:gridCol w:w="3956"/>
      </w:tblGrid>
      <w:tr>
        <w:tc>
          <w:tcPr>
            <w:tcW w:type="dxa" w:w="3888"/>
            <w:shd w:fill="E8F2FF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  <w:insideH w:val="single" w:sz="12" w:space="0" w:color="FFFFFF"/>
              <w:insideV w:val="single" w:sz="12" w:space="0" w:color="FFFFFF"/>
            </w:tcBorders>
          </w:tcPr>
          <w:p>
            <w:pPr>
              <w:spacing w:after="0" w:line="240" w:lineRule="auto" w:before="0"/>
            </w:pPr>
            <w:r>
              <w:rPr>
                <w:b/>
                <w:color w:val="0B1F3A"/>
                <w:sz w:val="18"/>
              </w:rPr>
              <w:t>Vision</w:t>
              <w:br/>
            </w:r>
            <w:r>
              <w:rPr>
                <w:color w:val="374151"/>
                <w:sz w:val="15"/>
              </w:rPr>
              <w:t>Devenir la référence régionale sur les offres B2B à forte valeur.</w:t>
            </w:r>
          </w:p>
        </w:tc>
        <w:tc>
          <w:tcPr>
            <w:tcW w:type="dxa" w:w="3888"/>
            <w:shd w:fill="FFF1D6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  <w:insideH w:val="single" w:sz="12" w:space="0" w:color="FFFFFF"/>
              <w:insideV w:val="single" w:sz="12" w:space="0" w:color="FFFFFF"/>
            </w:tcBorders>
          </w:tcPr>
          <w:p>
            <w:pPr>
              <w:spacing w:after="0" w:line="240" w:lineRule="auto" w:before="0"/>
            </w:pPr>
            <w:r>
              <w:rPr>
                <w:b/>
                <w:color w:val="0B1F3A"/>
                <w:sz w:val="18"/>
              </w:rPr>
              <w:t>Ambition chiffrée</w:t>
              <w:br/>
            </w:r>
            <w:r>
              <w:rPr>
                <w:color w:val="374151"/>
                <w:sz w:val="15"/>
              </w:rPr>
              <w:t>+18 % de chiffre d’affaires et +6 pts de marge brute.</w:t>
            </w:r>
          </w:p>
        </w:tc>
        <w:tc>
          <w:tcPr>
            <w:tcW w:type="dxa" w:w="3888"/>
            <w:shd w:fill="EAF7E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  <w:insideH w:val="single" w:sz="12" w:space="0" w:color="FFFFFF"/>
              <w:insideV w:val="single" w:sz="12" w:space="0" w:color="FFFFFF"/>
            </w:tcBorders>
          </w:tcPr>
          <w:p>
            <w:pPr>
              <w:spacing w:after="0" w:line="240" w:lineRule="auto" w:before="0"/>
            </w:pPr>
            <w:r>
              <w:rPr>
                <w:b/>
                <w:color w:val="0B1F3A"/>
                <w:sz w:val="18"/>
              </w:rPr>
              <w:t>Principe d’action</w:t>
              <w:br/>
            </w:r>
            <w:r>
              <w:rPr>
                <w:color w:val="374151"/>
                <w:sz w:val="15"/>
              </w:rPr>
              <w:t>Prioriser les clients à potentiel élevé, réduire les cycles longs.</w:t>
            </w:r>
          </w:p>
        </w:tc>
        <w:tc>
          <w:tcPr>
            <w:tcW w:type="dxa" w:w="3888"/>
            <w:shd w:fill="FCE7F3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  <w:insideH w:val="single" w:sz="12" w:space="0" w:color="FFFFFF"/>
              <w:insideV w:val="single" w:sz="12" w:space="0" w:color="FFFFFF"/>
            </w:tcBorders>
          </w:tcPr>
          <w:p>
            <w:pPr>
              <w:spacing w:after="0" w:line="240" w:lineRule="auto" w:before="0"/>
            </w:pPr>
            <w:r>
              <w:rPr>
                <w:b/>
                <w:color w:val="0B1F3A"/>
                <w:sz w:val="18"/>
              </w:rPr>
              <w:t>Rythme de pilotage</w:t>
              <w:br/>
            </w:r>
            <w:r>
              <w:rPr>
                <w:color w:val="374151"/>
                <w:sz w:val="15"/>
              </w:rPr>
              <w:t>Revue hebdomadaire, arbitrage mensuel, bilan à 90 jours.</w:t>
            </w:r>
          </w:p>
        </w:tc>
      </w:tr>
    </w:tbl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2261"/>
        <w:gridCol w:w="2261"/>
        <w:gridCol w:w="2261"/>
        <w:gridCol w:w="2261"/>
        <w:gridCol w:w="2261"/>
        <w:gridCol w:w="2261"/>
        <w:gridCol w:w="2261"/>
      </w:tblGrid>
      <w:tr>
        <w:tc>
          <w:tcPr>
            <w:tcW w:type="dxa" w:w="1800"/>
            <w:shd w:fill="173B6D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  <w:insideH w:val="single" w:sz="8" w:space="0" w:color="FFFFFF"/>
              <w:insideV w:val="single" w:sz="8" w:space="0" w:color="FFFFFF"/>
            </w:tcBorders>
          </w:tcPr>
          <w:p>
            <w:pPr>
              <w:spacing w:after="0" w:before="0" w:line="240" w:lineRule="auto"/>
              <w:jc w:val="center"/>
            </w:pPr>
            <w:r>
              <w:rPr>
                <w:rFonts w:ascii="Aptos" w:hAnsi="Aptos"/>
                <w:b/>
                <w:color w:val="FFFFFF"/>
                <w:sz w:val="16"/>
              </w:rPr>
              <w:t>Axe stratégique</w:t>
            </w:r>
          </w:p>
        </w:tc>
        <w:tc>
          <w:tcPr>
            <w:tcW w:type="dxa" w:w="3456"/>
            <w:shd w:fill="173B6D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  <w:insideH w:val="single" w:sz="8" w:space="0" w:color="FFFFFF"/>
              <w:insideV w:val="single" w:sz="8" w:space="0" w:color="FFFFFF"/>
            </w:tcBorders>
          </w:tcPr>
          <w:p>
            <w:pPr>
              <w:spacing w:after="0" w:before="0" w:line="240" w:lineRule="auto"/>
              <w:jc w:val="center"/>
            </w:pPr>
            <w:r>
              <w:rPr>
                <w:rFonts w:ascii="Aptos" w:hAnsi="Aptos"/>
                <w:b/>
                <w:color w:val="FFFFFF"/>
                <w:sz w:val="16"/>
              </w:rPr>
              <w:t>Action prioritaire</w:t>
            </w:r>
          </w:p>
        </w:tc>
        <w:tc>
          <w:tcPr>
            <w:tcW w:type="dxa" w:w="2520"/>
            <w:shd w:fill="173B6D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  <w:insideH w:val="single" w:sz="8" w:space="0" w:color="FFFFFF"/>
              <w:insideV w:val="single" w:sz="8" w:space="0" w:color="FFFFFF"/>
            </w:tcBorders>
          </w:tcPr>
          <w:p>
            <w:pPr>
              <w:spacing w:after="0" w:before="0" w:line="240" w:lineRule="auto"/>
              <w:jc w:val="center"/>
            </w:pPr>
            <w:r>
              <w:rPr>
                <w:rFonts w:ascii="Aptos" w:hAnsi="Aptos"/>
                <w:b/>
                <w:color w:val="FFFFFF"/>
                <w:sz w:val="16"/>
              </w:rPr>
              <w:t>Livrable attendu</w:t>
            </w:r>
          </w:p>
        </w:tc>
        <w:tc>
          <w:tcPr>
            <w:tcW w:type="dxa" w:w="1800"/>
            <w:shd w:fill="173B6D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  <w:insideH w:val="single" w:sz="8" w:space="0" w:color="FFFFFF"/>
              <w:insideV w:val="single" w:sz="8" w:space="0" w:color="FFFFFF"/>
            </w:tcBorders>
          </w:tcPr>
          <w:p>
            <w:pPr>
              <w:spacing w:after="0" w:before="0" w:line="240" w:lineRule="auto"/>
              <w:jc w:val="center"/>
            </w:pPr>
            <w:r>
              <w:rPr>
                <w:rFonts w:ascii="Aptos" w:hAnsi="Aptos"/>
                <w:b/>
                <w:color w:val="FFFFFF"/>
                <w:sz w:val="16"/>
              </w:rPr>
              <w:t>Responsable</w:t>
            </w:r>
          </w:p>
        </w:tc>
        <w:tc>
          <w:tcPr>
            <w:tcW w:type="dxa" w:w="1152"/>
            <w:shd w:fill="173B6D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  <w:insideH w:val="single" w:sz="8" w:space="0" w:color="FFFFFF"/>
              <w:insideV w:val="single" w:sz="8" w:space="0" w:color="FFFFFF"/>
            </w:tcBorders>
          </w:tcPr>
          <w:p>
            <w:pPr>
              <w:spacing w:after="0" w:before="0" w:line="240" w:lineRule="auto"/>
              <w:jc w:val="center"/>
            </w:pPr>
            <w:r>
              <w:rPr>
                <w:rFonts w:ascii="Aptos" w:hAnsi="Aptos"/>
                <w:b/>
                <w:color w:val="FFFFFF"/>
                <w:sz w:val="16"/>
              </w:rPr>
              <w:t>Échéance</w:t>
            </w:r>
          </w:p>
        </w:tc>
        <w:tc>
          <w:tcPr>
            <w:tcW w:type="dxa" w:w="1440"/>
            <w:shd w:fill="173B6D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  <w:insideH w:val="single" w:sz="8" w:space="0" w:color="FFFFFF"/>
              <w:insideV w:val="single" w:sz="8" w:space="0" w:color="FFFFFF"/>
            </w:tcBorders>
          </w:tcPr>
          <w:p>
            <w:pPr>
              <w:spacing w:after="0" w:before="0" w:line="240" w:lineRule="auto"/>
              <w:jc w:val="center"/>
            </w:pPr>
            <w:r>
              <w:rPr>
                <w:rFonts w:ascii="Aptos" w:hAnsi="Aptos"/>
                <w:b/>
                <w:color w:val="FFFFFF"/>
                <w:sz w:val="16"/>
              </w:rPr>
              <w:t>KPI cible</w:t>
            </w:r>
          </w:p>
        </w:tc>
        <w:tc>
          <w:tcPr>
            <w:tcW w:type="dxa" w:w="1368"/>
            <w:shd w:fill="173B6D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  <w:insideH w:val="single" w:sz="8" w:space="0" w:color="FFFFFF"/>
              <w:insideV w:val="single" w:sz="8" w:space="0" w:color="FFFFFF"/>
            </w:tcBorders>
          </w:tcPr>
          <w:p>
            <w:pPr>
              <w:spacing w:after="0" w:before="0" w:line="240" w:lineRule="auto"/>
              <w:jc w:val="center"/>
            </w:pPr>
            <w:r>
              <w:rPr>
                <w:rFonts w:ascii="Aptos" w:hAnsi="Aptos"/>
                <w:b/>
                <w:color w:val="FFFFFF"/>
                <w:sz w:val="16"/>
              </w:rPr>
              <w:t>Statut</w:t>
            </w:r>
          </w:p>
        </w:tc>
      </w:tr>
      <w:tr>
        <w:tc>
          <w:tcPr>
            <w:tcW w:type="dxa" w:w="1800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  <w:insideH w:val="single" w:sz="8" w:space="0" w:color="FFFFFF"/>
              <w:insideV w:val="single" w:sz="8" w:space="0" w:color="FFFFFF"/>
            </w:tcBorders>
            <w:shd w:fill="DCEBFF"/>
            <w:vAlign w:val="center"/>
          </w:tcPr>
          <w:p>
            <w:pPr>
              <w:spacing w:after="0" w:before="0" w:line="240" w:lineRule="auto"/>
            </w:pPr>
            <w:r>
              <w:rPr>
                <w:rFonts w:ascii="Aptos" w:hAnsi="Aptos"/>
                <w:b/>
                <w:color w:val="0B1F3A"/>
                <w:sz w:val="16"/>
              </w:rPr>
              <w:t>1. Acquisition</w:t>
            </w:r>
          </w:p>
        </w:tc>
        <w:tc>
          <w:tcPr>
            <w:tcW w:type="dxa" w:w="3456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  <w:insideH w:val="single" w:sz="8" w:space="0" w:color="FFFFFF"/>
              <w:insideV w:val="single" w:sz="8" w:space="0" w:color="FFFFFF"/>
            </w:tcBorders>
            <w:shd w:fill="F8FAFC"/>
            <w:vAlign w:val="center"/>
          </w:tcPr>
          <w:p>
            <w:pPr>
              <w:spacing w:after="0" w:before="0" w:line="240" w:lineRule="auto"/>
            </w:pPr>
            <w:r>
              <w:rPr>
                <w:rFonts w:ascii="Aptos" w:hAnsi="Aptos"/>
                <w:b w:val="0"/>
                <w:color w:val="111827"/>
                <w:sz w:val="14"/>
              </w:rPr>
              <w:t>Segmenter 1 500 prospects par potentiel, secteur et maturité d’achat.</w:t>
            </w:r>
          </w:p>
        </w:tc>
        <w:tc>
          <w:tcPr>
            <w:tcW w:type="dxa" w:w="2520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  <w:insideH w:val="single" w:sz="8" w:space="0" w:color="FFFFFF"/>
              <w:insideV w:val="single" w:sz="8" w:space="0" w:color="FFFFFF"/>
            </w:tcBorders>
            <w:shd w:fill="F8FAFC"/>
            <w:vAlign w:val="center"/>
          </w:tcPr>
          <w:p>
            <w:pPr>
              <w:spacing w:after="0" w:before="0" w:line="240" w:lineRule="auto"/>
            </w:pPr>
            <w:r>
              <w:rPr>
                <w:rFonts w:ascii="Aptos" w:hAnsi="Aptos"/>
                <w:b w:val="0"/>
                <w:color w:val="111827"/>
                <w:sz w:val="14"/>
              </w:rPr>
              <w:t>Base qualifiée + score A/B/C</w:t>
            </w:r>
          </w:p>
        </w:tc>
        <w:tc>
          <w:tcPr>
            <w:tcW w:type="dxa" w:w="1800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  <w:insideH w:val="single" w:sz="8" w:space="0" w:color="FFFFFF"/>
              <w:insideV w:val="single" w:sz="8" w:space="0" w:color="FFFFFF"/>
            </w:tcBorders>
            <w:shd w:fill="F8FAFC"/>
            <w:vAlign w:val="center"/>
          </w:tcPr>
          <w:p>
            <w:pPr>
              <w:spacing w:after="0" w:before="0" w:line="240" w:lineRule="auto"/>
            </w:pPr>
            <w:r>
              <w:rPr>
                <w:rFonts w:ascii="Aptos" w:hAnsi="Aptos"/>
                <w:b w:val="0"/>
                <w:color w:val="111827"/>
                <w:sz w:val="14"/>
              </w:rPr>
              <w:t>Salma Martin</w:t>
            </w:r>
          </w:p>
        </w:tc>
        <w:tc>
          <w:tcPr>
            <w:tcW w:type="dxa" w:w="115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  <w:insideH w:val="single" w:sz="8" w:space="0" w:color="FFFFFF"/>
              <w:insideV w:val="single" w:sz="8" w:space="0" w:color="FFFFFF"/>
            </w:tcBorders>
            <w:shd w:fill="F8FAFC"/>
            <w:vAlign w:val="center"/>
          </w:tcPr>
          <w:p>
            <w:pPr>
              <w:spacing w:after="0" w:before="0" w:line="240" w:lineRule="auto"/>
            </w:pPr>
            <w:r>
              <w:rPr>
                <w:rFonts w:ascii="Aptos" w:hAnsi="Aptos"/>
                <w:b w:val="0"/>
                <w:color w:val="111827"/>
                <w:sz w:val="14"/>
              </w:rPr>
              <w:t>S1–S2</w:t>
            </w:r>
          </w:p>
        </w:tc>
        <w:tc>
          <w:tcPr>
            <w:tcW w:type="dxa" w:w="1440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  <w:insideH w:val="single" w:sz="8" w:space="0" w:color="FFFFFF"/>
              <w:insideV w:val="single" w:sz="8" w:space="0" w:color="FFFFFF"/>
            </w:tcBorders>
            <w:shd w:fill="F8FAFC"/>
            <w:vAlign w:val="center"/>
          </w:tcPr>
          <w:p>
            <w:pPr>
              <w:spacing w:after="0" w:before="0" w:line="240" w:lineRule="auto"/>
            </w:pPr>
            <w:r>
              <w:rPr>
                <w:rFonts w:ascii="Aptos" w:hAnsi="Aptos"/>
                <w:b w:val="0"/>
                <w:color w:val="111827"/>
                <w:sz w:val="14"/>
              </w:rPr>
              <w:t>1 500 fiches validées</w:t>
            </w:r>
          </w:p>
        </w:tc>
        <w:tc>
          <w:tcPr>
            <w:tcW w:type="dxa" w:w="1368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  <w:insideH w:val="single" w:sz="8" w:space="0" w:color="FFFFFF"/>
              <w:insideV w:val="single" w:sz="8" w:space="0" w:color="FFFFFF"/>
            </w:tcBorders>
            <w:shd w:fill="FDE68A"/>
            <w:vAlign w:val="center"/>
          </w:tcPr>
          <w:p>
            <w:pPr>
              <w:spacing w:after="0" w:before="0" w:line="240" w:lineRule="auto"/>
              <w:jc w:val="center"/>
            </w:pPr>
            <w:r>
              <w:rPr>
                <w:rFonts w:ascii="Aptos" w:hAnsi="Aptos"/>
                <w:b/>
                <w:color w:val="1F2937"/>
                <w:sz w:val="15"/>
              </w:rPr>
              <w:t>En cours</w:t>
            </w:r>
          </w:p>
        </w:tc>
      </w:tr>
      <w:tr>
        <w:tc>
          <w:tcPr>
            <w:tcW w:type="dxa" w:w="1800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  <w:insideH w:val="single" w:sz="8" w:space="0" w:color="FFFFFF"/>
              <w:insideV w:val="single" w:sz="8" w:space="0" w:color="FFFFFF"/>
            </w:tcBorders>
            <w:shd w:fill="FFF2CC"/>
            <w:vAlign w:val="center"/>
          </w:tcPr>
          <w:p>
            <w:pPr>
              <w:spacing w:after="0" w:before="0" w:line="240" w:lineRule="auto"/>
            </w:pPr>
            <w:r>
              <w:rPr>
                <w:rFonts w:ascii="Aptos" w:hAnsi="Aptos"/>
                <w:b/>
                <w:color w:val="0B1F3A"/>
                <w:sz w:val="16"/>
              </w:rPr>
              <w:t>2. Offre &amp; valeur</w:t>
            </w:r>
          </w:p>
        </w:tc>
        <w:tc>
          <w:tcPr>
            <w:tcW w:type="dxa" w:w="3456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  <w:insideH w:val="single" w:sz="8" w:space="0" w:color="FFFFFF"/>
              <w:insideV w:val="single" w:sz="8" w:space="0" w:color="FFFFFF"/>
            </w:tcBorders>
            <w:shd w:fill="EEF4FF"/>
            <w:vAlign w:val="center"/>
          </w:tcPr>
          <w:p>
            <w:pPr>
              <w:spacing w:after="0" w:before="0" w:line="240" w:lineRule="auto"/>
            </w:pPr>
            <w:r>
              <w:rPr>
                <w:rFonts w:ascii="Aptos" w:hAnsi="Aptos"/>
                <w:b w:val="0"/>
                <w:color w:val="111827"/>
                <w:sz w:val="14"/>
              </w:rPr>
              <w:t>Créer 3 packs premium avec promesse claire, prix, bonus et preuve client.</w:t>
            </w:r>
          </w:p>
        </w:tc>
        <w:tc>
          <w:tcPr>
            <w:tcW w:type="dxa" w:w="2520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  <w:insideH w:val="single" w:sz="8" w:space="0" w:color="FFFFFF"/>
              <w:insideV w:val="single" w:sz="8" w:space="0" w:color="FFFFFF"/>
            </w:tcBorders>
            <w:shd w:fill="EEF4FF"/>
            <w:vAlign w:val="center"/>
          </w:tcPr>
          <w:p>
            <w:pPr>
              <w:spacing w:after="0" w:before="0" w:line="240" w:lineRule="auto"/>
            </w:pPr>
            <w:r>
              <w:rPr>
                <w:rFonts w:ascii="Aptos" w:hAnsi="Aptos"/>
                <w:b w:val="0"/>
                <w:color w:val="111827"/>
                <w:sz w:val="14"/>
              </w:rPr>
              <w:t>Grille d’offres + argumentaire</w:t>
            </w:r>
          </w:p>
        </w:tc>
        <w:tc>
          <w:tcPr>
            <w:tcW w:type="dxa" w:w="1800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  <w:insideH w:val="single" w:sz="8" w:space="0" w:color="FFFFFF"/>
              <w:insideV w:val="single" w:sz="8" w:space="0" w:color="FFFFFF"/>
            </w:tcBorders>
            <w:shd w:fill="EEF4FF"/>
            <w:vAlign w:val="center"/>
          </w:tcPr>
          <w:p>
            <w:pPr>
              <w:spacing w:after="0" w:before="0" w:line="240" w:lineRule="auto"/>
            </w:pPr>
            <w:r>
              <w:rPr>
                <w:rFonts w:ascii="Aptos" w:hAnsi="Aptos"/>
                <w:b w:val="0"/>
                <w:color w:val="111827"/>
                <w:sz w:val="14"/>
              </w:rPr>
              <w:t>Karim Lefèvre</w:t>
            </w:r>
          </w:p>
        </w:tc>
        <w:tc>
          <w:tcPr>
            <w:tcW w:type="dxa" w:w="115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  <w:insideH w:val="single" w:sz="8" w:space="0" w:color="FFFFFF"/>
              <w:insideV w:val="single" w:sz="8" w:space="0" w:color="FFFFFF"/>
            </w:tcBorders>
            <w:shd w:fill="EEF4FF"/>
            <w:vAlign w:val="center"/>
          </w:tcPr>
          <w:p>
            <w:pPr>
              <w:spacing w:after="0" w:before="0" w:line="240" w:lineRule="auto"/>
            </w:pPr>
            <w:r>
              <w:rPr>
                <w:rFonts w:ascii="Aptos" w:hAnsi="Aptos"/>
                <w:b w:val="0"/>
                <w:color w:val="111827"/>
                <w:sz w:val="14"/>
              </w:rPr>
              <w:t>S2</w:t>
            </w:r>
          </w:p>
        </w:tc>
        <w:tc>
          <w:tcPr>
            <w:tcW w:type="dxa" w:w="1440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  <w:insideH w:val="single" w:sz="8" w:space="0" w:color="FFFFFF"/>
              <w:insideV w:val="single" w:sz="8" w:space="0" w:color="FFFFFF"/>
            </w:tcBorders>
            <w:shd w:fill="EEF4FF"/>
            <w:vAlign w:val="center"/>
          </w:tcPr>
          <w:p>
            <w:pPr>
              <w:spacing w:after="0" w:before="0" w:line="240" w:lineRule="auto"/>
            </w:pPr>
            <w:r>
              <w:rPr>
                <w:rFonts w:ascii="Aptos" w:hAnsi="Aptos"/>
                <w:b w:val="0"/>
                <w:color w:val="111827"/>
                <w:sz w:val="14"/>
              </w:rPr>
              <w:t>3 offres prêtes</w:t>
            </w:r>
          </w:p>
        </w:tc>
        <w:tc>
          <w:tcPr>
            <w:tcW w:type="dxa" w:w="1368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  <w:insideH w:val="single" w:sz="8" w:space="0" w:color="FFFFFF"/>
              <w:insideV w:val="single" w:sz="8" w:space="0" w:color="FFFFFF"/>
            </w:tcBorders>
            <w:shd w:fill="DBEAFE"/>
            <w:vAlign w:val="center"/>
          </w:tcPr>
          <w:p>
            <w:pPr>
              <w:spacing w:after="0" w:before="0" w:line="240" w:lineRule="auto"/>
              <w:jc w:val="center"/>
            </w:pPr>
            <w:r>
              <w:rPr>
                <w:rFonts w:ascii="Aptos" w:hAnsi="Aptos"/>
                <w:b/>
                <w:color w:val="1F2937"/>
                <w:sz w:val="15"/>
              </w:rPr>
              <w:t>À lancer</w:t>
            </w:r>
          </w:p>
        </w:tc>
      </w:tr>
      <w:tr>
        <w:tc>
          <w:tcPr>
            <w:tcW w:type="dxa" w:w="1800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  <w:insideH w:val="single" w:sz="8" w:space="0" w:color="FFFFFF"/>
              <w:insideV w:val="single" w:sz="8" w:space="0" w:color="FFFFFF"/>
            </w:tcBorders>
            <w:shd w:fill="E5F6E5"/>
            <w:vAlign w:val="center"/>
          </w:tcPr>
          <w:p>
            <w:pPr>
              <w:spacing w:after="0" w:before="0" w:line="240" w:lineRule="auto"/>
            </w:pPr>
            <w:r>
              <w:rPr>
                <w:rFonts w:ascii="Aptos" w:hAnsi="Aptos"/>
                <w:b/>
                <w:color w:val="0B1F3A"/>
                <w:sz w:val="16"/>
              </w:rPr>
              <w:t>3. Conversion</w:t>
            </w:r>
          </w:p>
        </w:tc>
        <w:tc>
          <w:tcPr>
            <w:tcW w:type="dxa" w:w="3456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  <w:insideH w:val="single" w:sz="8" w:space="0" w:color="FFFFFF"/>
              <w:insideV w:val="single" w:sz="8" w:space="0" w:color="FFFFFF"/>
            </w:tcBorders>
            <w:shd w:fill="F8FAFC"/>
            <w:vAlign w:val="center"/>
          </w:tcPr>
          <w:p>
            <w:pPr>
              <w:spacing w:after="0" w:before="0" w:line="240" w:lineRule="auto"/>
            </w:pPr>
            <w:r>
              <w:rPr>
                <w:rFonts w:ascii="Aptos" w:hAnsi="Aptos"/>
                <w:b w:val="0"/>
                <w:color w:val="111827"/>
                <w:sz w:val="14"/>
              </w:rPr>
              <w:t>Mettre en place une séquence de relance multicanale sur 21 jours.</w:t>
            </w:r>
          </w:p>
        </w:tc>
        <w:tc>
          <w:tcPr>
            <w:tcW w:type="dxa" w:w="2520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  <w:insideH w:val="single" w:sz="8" w:space="0" w:color="FFFFFF"/>
              <w:insideV w:val="single" w:sz="8" w:space="0" w:color="FFFFFF"/>
            </w:tcBorders>
            <w:shd w:fill="F8FAFC"/>
            <w:vAlign w:val="center"/>
          </w:tcPr>
          <w:p>
            <w:pPr>
              <w:spacing w:after="0" w:before="0" w:line="240" w:lineRule="auto"/>
            </w:pPr>
            <w:r>
              <w:rPr>
                <w:rFonts w:ascii="Aptos" w:hAnsi="Aptos"/>
                <w:b w:val="0"/>
                <w:color w:val="111827"/>
                <w:sz w:val="14"/>
              </w:rPr>
              <w:t>Script appel + emails + WhatsApp</w:t>
            </w:r>
          </w:p>
        </w:tc>
        <w:tc>
          <w:tcPr>
            <w:tcW w:type="dxa" w:w="1800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  <w:insideH w:val="single" w:sz="8" w:space="0" w:color="FFFFFF"/>
              <w:insideV w:val="single" w:sz="8" w:space="0" w:color="FFFFFF"/>
            </w:tcBorders>
            <w:shd w:fill="F8FAFC"/>
            <w:vAlign w:val="center"/>
          </w:tcPr>
          <w:p>
            <w:pPr>
              <w:spacing w:after="0" w:before="0" w:line="240" w:lineRule="auto"/>
            </w:pPr>
            <w:r>
              <w:rPr>
                <w:rFonts w:ascii="Aptos" w:hAnsi="Aptos"/>
                <w:b w:val="0"/>
                <w:color w:val="111827"/>
                <w:sz w:val="14"/>
              </w:rPr>
              <w:t>Nora Bernard</w:t>
            </w:r>
          </w:p>
        </w:tc>
        <w:tc>
          <w:tcPr>
            <w:tcW w:type="dxa" w:w="115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  <w:insideH w:val="single" w:sz="8" w:space="0" w:color="FFFFFF"/>
              <w:insideV w:val="single" w:sz="8" w:space="0" w:color="FFFFFF"/>
            </w:tcBorders>
            <w:shd w:fill="F8FAFC"/>
            <w:vAlign w:val="center"/>
          </w:tcPr>
          <w:p>
            <w:pPr>
              <w:spacing w:after="0" w:before="0" w:line="240" w:lineRule="auto"/>
            </w:pPr>
            <w:r>
              <w:rPr>
                <w:rFonts w:ascii="Aptos" w:hAnsi="Aptos"/>
                <w:b w:val="0"/>
                <w:color w:val="111827"/>
                <w:sz w:val="14"/>
              </w:rPr>
              <w:t>S3</w:t>
            </w:r>
          </w:p>
        </w:tc>
        <w:tc>
          <w:tcPr>
            <w:tcW w:type="dxa" w:w="1440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  <w:insideH w:val="single" w:sz="8" w:space="0" w:color="FFFFFF"/>
              <w:insideV w:val="single" w:sz="8" w:space="0" w:color="FFFFFF"/>
            </w:tcBorders>
            <w:shd w:fill="F8FAFC"/>
            <w:vAlign w:val="center"/>
          </w:tcPr>
          <w:p>
            <w:pPr>
              <w:spacing w:after="0" w:before="0" w:line="240" w:lineRule="auto"/>
            </w:pPr>
            <w:r>
              <w:rPr>
                <w:rFonts w:ascii="Aptos" w:hAnsi="Aptos"/>
                <w:b w:val="0"/>
                <w:color w:val="111827"/>
                <w:sz w:val="14"/>
              </w:rPr>
              <w:t>Taux RDV 12 %</w:t>
            </w:r>
          </w:p>
        </w:tc>
        <w:tc>
          <w:tcPr>
            <w:tcW w:type="dxa" w:w="1368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  <w:insideH w:val="single" w:sz="8" w:space="0" w:color="FFFFFF"/>
              <w:insideV w:val="single" w:sz="8" w:space="0" w:color="FFFFFF"/>
            </w:tcBorders>
            <w:shd w:fill="FECACA"/>
            <w:vAlign w:val="center"/>
          </w:tcPr>
          <w:p>
            <w:pPr>
              <w:spacing w:after="0" w:before="0" w:line="240" w:lineRule="auto"/>
              <w:jc w:val="center"/>
            </w:pPr>
            <w:r>
              <w:rPr>
                <w:rFonts w:ascii="Aptos" w:hAnsi="Aptos"/>
                <w:b/>
                <w:color w:val="1F2937"/>
                <w:sz w:val="15"/>
              </w:rPr>
              <w:t>Prioritaire</w:t>
            </w:r>
          </w:p>
        </w:tc>
      </w:tr>
      <w:tr>
        <w:tc>
          <w:tcPr>
            <w:tcW w:type="dxa" w:w="1800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  <w:insideH w:val="single" w:sz="8" w:space="0" w:color="FFFFFF"/>
              <w:insideV w:val="single" w:sz="8" w:space="0" w:color="FFFFFF"/>
            </w:tcBorders>
            <w:shd w:fill="FCE4EC"/>
            <w:vAlign w:val="center"/>
          </w:tcPr>
          <w:p>
            <w:pPr>
              <w:spacing w:after="0" w:before="0" w:line="240" w:lineRule="auto"/>
            </w:pPr>
            <w:r>
              <w:rPr>
                <w:rFonts w:ascii="Aptos" w:hAnsi="Aptos"/>
                <w:b/>
                <w:color w:val="0B1F3A"/>
                <w:sz w:val="16"/>
              </w:rPr>
              <w:t>4. Expérience client</w:t>
            </w:r>
          </w:p>
        </w:tc>
        <w:tc>
          <w:tcPr>
            <w:tcW w:type="dxa" w:w="3456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  <w:insideH w:val="single" w:sz="8" w:space="0" w:color="FFFFFF"/>
              <w:insideV w:val="single" w:sz="8" w:space="0" w:color="FFFFFF"/>
            </w:tcBorders>
            <w:shd w:fill="EEF4FF"/>
            <w:vAlign w:val="center"/>
          </w:tcPr>
          <w:p>
            <w:pPr>
              <w:spacing w:after="0" w:before="0" w:line="240" w:lineRule="auto"/>
            </w:pPr>
            <w:r>
              <w:rPr>
                <w:rFonts w:ascii="Aptos" w:hAnsi="Aptos"/>
                <w:b w:val="0"/>
                <w:color w:val="111827"/>
                <w:sz w:val="14"/>
              </w:rPr>
              <w:t>Réduire les irritants post-vente par une checklist d’onboarding.</w:t>
            </w:r>
          </w:p>
        </w:tc>
        <w:tc>
          <w:tcPr>
            <w:tcW w:type="dxa" w:w="2520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  <w:insideH w:val="single" w:sz="8" w:space="0" w:color="FFFFFF"/>
              <w:insideV w:val="single" w:sz="8" w:space="0" w:color="FFFFFF"/>
            </w:tcBorders>
            <w:shd w:fill="EEF4FF"/>
            <w:vAlign w:val="center"/>
          </w:tcPr>
          <w:p>
            <w:pPr>
              <w:spacing w:after="0" w:before="0" w:line="240" w:lineRule="auto"/>
            </w:pPr>
            <w:r>
              <w:rPr>
                <w:rFonts w:ascii="Aptos" w:hAnsi="Aptos"/>
                <w:b w:val="0"/>
                <w:color w:val="111827"/>
                <w:sz w:val="14"/>
              </w:rPr>
              <w:t>Parcours client 7 étapes</w:t>
            </w:r>
          </w:p>
        </w:tc>
        <w:tc>
          <w:tcPr>
            <w:tcW w:type="dxa" w:w="1800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  <w:insideH w:val="single" w:sz="8" w:space="0" w:color="FFFFFF"/>
              <w:insideV w:val="single" w:sz="8" w:space="0" w:color="FFFFFF"/>
            </w:tcBorders>
            <w:shd w:fill="EEF4FF"/>
            <w:vAlign w:val="center"/>
          </w:tcPr>
          <w:p>
            <w:pPr>
              <w:spacing w:after="0" w:before="0" w:line="240" w:lineRule="auto"/>
            </w:pPr>
            <w:r>
              <w:rPr>
                <w:rFonts w:ascii="Aptos" w:hAnsi="Aptos"/>
                <w:b w:val="0"/>
                <w:color w:val="111827"/>
                <w:sz w:val="14"/>
              </w:rPr>
              <w:t>Julien Moreau</w:t>
            </w:r>
          </w:p>
        </w:tc>
        <w:tc>
          <w:tcPr>
            <w:tcW w:type="dxa" w:w="115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  <w:insideH w:val="single" w:sz="8" w:space="0" w:color="FFFFFF"/>
              <w:insideV w:val="single" w:sz="8" w:space="0" w:color="FFFFFF"/>
            </w:tcBorders>
            <w:shd w:fill="EEF4FF"/>
            <w:vAlign w:val="center"/>
          </w:tcPr>
          <w:p>
            <w:pPr>
              <w:spacing w:after="0" w:before="0" w:line="240" w:lineRule="auto"/>
            </w:pPr>
            <w:r>
              <w:rPr>
                <w:rFonts w:ascii="Aptos" w:hAnsi="Aptos"/>
                <w:b w:val="0"/>
                <w:color w:val="111827"/>
                <w:sz w:val="14"/>
              </w:rPr>
              <w:t>S4</w:t>
            </w:r>
          </w:p>
        </w:tc>
        <w:tc>
          <w:tcPr>
            <w:tcW w:type="dxa" w:w="1440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  <w:insideH w:val="single" w:sz="8" w:space="0" w:color="FFFFFF"/>
              <w:insideV w:val="single" w:sz="8" w:space="0" w:color="FFFFFF"/>
            </w:tcBorders>
            <w:shd w:fill="EEF4FF"/>
            <w:vAlign w:val="center"/>
          </w:tcPr>
          <w:p>
            <w:pPr>
              <w:spacing w:after="0" w:before="0" w:line="240" w:lineRule="auto"/>
            </w:pPr>
            <w:r>
              <w:rPr>
                <w:rFonts w:ascii="Aptos" w:hAnsi="Aptos"/>
                <w:b w:val="0"/>
                <w:color w:val="111827"/>
                <w:sz w:val="14"/>
              </w:rPr>
              <w:t>NPS ≥ 45</w:t>
            </w:r>
          </w:p>
        </w:tc>
        <w:tc>
          <w:tcPr>
            <w:tcW w:type="dxa" w:w="1368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  <w:insideH w:val="single" w:sz="8" w:space="0" w:color="FFFFFF"/>
              <w:insideV w:val="single" w:sz="8" w:space="0" w:color="FFFFFF"/>
            </w:tcBorders>
            <w:shd w:fill="FDE68A"/>
            <w:vAlign w:val="center"/>
          </w:tcPr>
          <w:p>
            <w:pPr>
              <w:spacing w:after="0" w:before="0" w:line="240" w:lineRule="auto"/>
              <w:jc w:val="center"/>
            </w:pPr>
            <w:r>
              <w:rPr>
                <w:rFonts w:ascii="Aptos" w:hAnsi="Aptos"/>
                <w:b/>
                <w:color w:val="1F2937"/>
                <w:sz w:val="15"/>
              </w:rPr>
              <w:t>En cours</w:t>
            </w:r>
          </w:p>
        </w:tc>
      </w:tr>
      <w:tr>
        <w:tc>
          <w:tcPr>
            <w:tcW w:type="dxa" w:w="1800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  <w:insideH w:val="single" w:sz="8" w:space="0" w:color="FFFFFF"/>
              <w:insideV w:val="single" w:sz="8" w:space="0" w:color="FFFFFF"/>
            </w:tcBorders>
            <w:shd w:fill="EDE7F6"/>
            <w:vAlign w:val="center"/>
          </w:tcPr>
          <w:p>
            <w:pPr>
              <w:spacing w:after="0" w:before="0" w:line="240" w:lineRule="auto"/>
            </w:pPr>
            <w:r>
              <w:rPr>
                <w:rFonts w:ascii="Aptos" w:hAnsi="Aptos"/>
                <w:b/>
                <w:color w:val="0B1F3A"/>
                <w:sz w:val="16"/>
              </w:rPr>
              <w:t>5. Rentabilité</w:t>
            </w:r>
          </w:p>
        </w:tc>
        <w:tc>
          <w:tcPr>
            <w:tcW w:type="dxa" w:w="3456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  <w:insideH w:val="single" w:sz="8" w:space="0" w:color="FFFFFF"/>
              <w:insideV w:val="single" w:sz="8" w:space="0" w:color="FFFFFF"/>
            </w:tcBorders>
            <w:shd w:fill="F8FAFC"/>
            <w:vAlign w:val="center"/>
          </w:tcPr>
          <w:p>
            <w:pPr>
              <w:spacing w:after="0" w:before="0" w:line="240" w:lineRule="auto"/>
            </w:pPr>
            <w:r>
              <w:rPr>
                <w:rFonts w:ascii="Aptos" w:hAnsi="Aptos"/>
                <w:b w:val="0"/>
                <w:color w:val="111827"/>
                <w:sz w:val="14"/>
              </w:rPr>
              <w:t>Identifier les remises non maîtrisées et fixer des seuils d’autorisation.</w:t>
            </w:r>
          </w:p>
        </w:tc>
        <w:tc>
          <w:tcPr>
            <w:tcW w:type="dxa" w:w="2520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  <w:insideH w:val="single" w:sz="8" w:space="0" w:color="FFFFFF"/>
              <w:insideV w:val="single" w:sz="8" w:space="0" w:color="FFFFFF"/>
            </w:tcBorders>
            <w:shd w:fill="F8FAFC"/>
            <w:vAlign w:val="center"/>
          </w:tcPr>
          <w:p>
            <w:pPr>
              <w:spacing w:after="0" w:before="0" w:line="240" w:lineRule="auto"/>
            </w:pPr>
            <w:r>
              <w:rPr>
                <w:rFonts w:ascii="Aptos" w:hAnsi="Aptos"/>
                <w:b w:val="0"/>
                <w:color w:val="111827"/>
                <w:sz w:val="14"/>
              </w:rPr>
              <w:t>Politique de remise</w:t>
            </w:r>
          </w:p>
        </w:tc>
        <w:tc>
          <w:tcPr>
            <w:tcW w:type="dxa" w:w="1800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  <w:insideH w:val="single" w:sz="8" w:space="0" w:color="FFFFFF"/>
              <w:insideV w:val="single" w:sz="8" w:space="0" w:color="FFFFFF"/>
            </w:tcBorders>
            <w:shd w:fill="F8FAFC"/>
            <w:vAlign w:val="center"/>
          </w:tcPr>
          <w:p>
            <w:pPr>
              <w:spacing w:after="0" w:before="0" w:line="240" w:lineRule="auto"/>
            </w:pPr>
            <w:r>
              <w:rPr>
                <w:rFonts w:ascii="Aptos" w:hAnsi="Aptos"/>
                <w:b w:val="0"/>
                <w:color w:val="111827"/>
                <w:sz w:val="14"/>
              </w:rPr>
              <w:t>Amal Dubois</w:t>
            </w:r>
          </w:p>
        </w:tc>
        <w:tc>
          <w:tcPr>
            <w:tcW w:type="dxa" w:w="115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  <w:insideH w:val="single" w:sz="8" w:space="0" w:color="FFFFFF"/>
              <w:insideV w:val="single" w:sz="8" w:space="0" w:color="FFFFFF"/>
            </w:tcBorders>
            <w:shd w:fill="F8FAFC"/>
            <w:vAlign w:val="center"/>
          </w:tcPr>
          <w:p>
            <w:pPr>
              <w:spacing w:after="0" w:before="0" w:line="240" w:lineRule="auto"/>
            </w:pPr>
            <w:r>
              <w:rPr>
                <w:rFonts w:ascii="Aptos" w:hAnsi="Aptos"/>
                <w:b w:val="0"/>
                <w:color w:val="111827"/>
                <w:sz w:val="14"/>
              </w:rPr>
              <w:t>S5</w:t>
            </w:r>
          </w:p>
        </w:tc>
        <w:tc>
          <w:tcPr>
            <w:tcW w:type="dxa" w:w="1440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  <w:insideH w:val="single" w:sz="8" w:space="0" w:color="FFFFFF"/>
              <w:insideV w:val="single" w:sz="8" w:space="0" w:color="FFFFFF"/>
            </w:tcBorders>
            <w:shd w:fill="F8FAFC"/>
            <w:vAlign w:val="center"/>
          </w:tcPr>
          <w:p>
            <w:pPr>
              <w:spacing w:after="0" w:before="0" w:line="240" w:lineRule="auto"/>
            </w:pPr>
            <w:r>
              <w:rPr>
                <w:rFonts w:ascii="Aptos" w:hAnsi="Aptos"/>
                <w:b w:val="0"/>
                <w:color w:val="111827"/>
                <w:sz w:val="14"/>
              </w:rPr>
              <w:t>Marge +6 pts</w:t>
            </w:r>
          </w:p>
        </w:tc>
        <w:tc>
          <w:tcPr>
            <w:tcW w:type="dxa" w:w="1368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  <w:insideH w:val="single" w:sz="8" w:space="0" w:color="FFFFFF"/>
              <w:insideV w:val="single" w:sz="8" w:space="0" w:color="FFFFFF"/>
            </w:tcBorders>
            <w:shd w:fill="FED7AA"/>
            <w:vAlign w:val="center"/>
          </w:tcPr>
          <w:p>
            <w:pPr>
              <w:spacing w:after="0" w:before="0" w:line="240" w:lineRule="auto"/>
              <w:jc w:val="center"/>
            </w:pPr>
            <w:r>
              <w:rPr>
                <w:rFonts w:ascii="Aptos" w:hAnsi="Aptos"/>
                <w:b/>
                <w:color w:val="1F2937"/>
                <w:sz w:val="15"/>
              </w:rPr>
              <w:t>À sécuriser</w:t>
            </w:r>
          </w:p>
        </w:tc>
      </w:tr>
      <w:tr>
        <w:tc>
          <w:tcPr>
            <w:tcW w:type="dxa" w:w="1800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  <w:insideH w:val="single" w:sz="8" w:space="0" w:color="FFFFFF"/>
              <w:insideV w:val="single" w:sz="8" w:space="0" w:color="FFFFFF"/>
            </w:tcBorders>
            <w:shd w:fill="E0F7FA"/>
            <w:vAlign w:val="center"/>
          </w:tcPr>
          <w:p>
            <w:pPr>
              <w:spacing w:after="0" w:before="0" w:line="240" w:lineRule="auto"/>
            </w:pPr>
            <w:r>
              <w:rPr>
                <w:rFonts w:ascii="Aptos" w:hAnsi="Aptos"/>
                <w:b/>
                <w:color w:val="0B1F3A"/>
                <w:sz w:val="16"/>
              </w:rPr>
              <w:t>6. Pilotage</w:t>
            </w:r>
          </w:p>
        </w:tc>
        <w:tc>
          <w:tcPr>
            <w:tcW w:type="dxa" w:w="3456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  <w:insideH w:val="single" w:sz="8" w:space="0" w:color="FFFFFF"/>
              <w:insideV w:val="single" w:sz="8" w:space="0" w:color="FFFFFF"/>
            </w:tcBorders>
            <w:shd w:fill="EEF4FF"/>
            <w:vAlign w:val="center"/>
          </w:tcPr>
          <w:p>
            <w:pPr>
              <w:spacing w:after="0" w:before="0" w:line="240" w:lineRule="auto"/>
            </w:pPr>
            <w:r>
              <w:rPr>
                <w:rFonts w:ascii="Aptos" w:hAnsi="Aptos"/>
                <w:b w:val="0"/>
                <w:color w:val="111827"/>
                <w:sz w:val="14"/>
              </w:rPr>
              <w:t>Installer un tableau de bord hebdomadaire avec alertes rouges/orange/vert.</w:t>
            </w:r>
          </w:p>
        </w:tc>
        <w:tc>
          <w:tcPr>
            <w:tcW w:type="dxa" w:w="2520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  <w:insideH w:val="single" w:sz="8" w:space="0" w:color="FFFFFF"/>
              <w:insideV w:val="single" w:sz="8" w:space="0" w:color="FFFFFF"/>
            </w:tcBorders>
            <w:shd w:fill="EEF4FF"/>
            <w:vAlign w:val="center"/>
          </w:tcPr>
          <w:p>
            <w:pPr>
              <w:spacing w:after="0" w:before="0" w:line="240" w:lineRule="auto"/>
            </w:pPr>
            <w:r>
              <w:rPr>
                <w:rFonts w:ascii="Aptos" w:hAnsi="Aptos"/>
                <w:b w:val="0"/>
                <w:color w:val="111827"/>
                <w:sz w:val="14"/>
              </w:rPr>
              <w:t>Dashboard direction</w:t>
            </w:r>
          </w:p>
        </w:tc>
        <w:tc>
          <w:tcPr>
            <w:tcW w:type="dxa" w:w="1800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  <w:insideH w:val="single" w:sz="8" w:space="0" w:color="FFFFFF"/>
              <w:insideV w:val="single" w:sz="8" w:space="0" w:color="FFFFFF"/>
            </w:tcBorders>
            <w:shd w:fill="EEF4FF"/>
            <w:vAlign w:val="center"/>
          </w:tcPr>
          <w:p>
            <w:pPr>
              <w:spacing w:after="0" w:before="0" w:line="240" w:lineRule="auto"/>
            </w:pPr>
            <w:r>
              <w:rPr>
                <w:rFonts w:ascii="Aptos" w:hAnsi="Aptos"/>
                <w:b w:val="0"/>
                <w:color w:val="111827"/>
                <w:sz w:val="14"/>
              </w:rPr>
              <w:t>Équipe PMO</w:t>
            </w:r>
          </w:p>
        </w:tc>
        <w:tc>
          <w:tcPr>
            <w:tcW w:type="dxa" w:w="115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  <w:insideH w:val="single" w:sz="8" w:space="0" w:color="FFFFFF"/>
              <w:insideV w:val="single" w:sz="8" w:space="0" w:color="FFFFFF"/>
            </w:tcBorders>
            <w:shd w:fill="EEF4FF"/>
            <w:vAlign w:val="center"/>
          </w:tcPr>
          <w:p>
            <w:pPr>
              <w:spacing w:after="0" w:before="0" w:line="240" w:lineRule="auto"/>
            </w:pPr>
            <w:r>
              <w:rPr>
                <w:rFonts w:ascii="Aptos" w:hAnsi="Aptos"/>
                <w:b w:val="0"/>
                <w:color w:val="111827"/>
                <w:sz w:val="14"/>
              </w:rPr>
              <w:t>S1 puis hebdo</w:t>
            </w:r>
          </w:p>
        </w:tc>
        <w:tc>
          <w:tcPr>
            <w:tcW w:type="dxa" w:w="1440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  <w:insideH w:val="single" w:sz="8" w:space="0" w:color="FFFFFF"/>
              <w:insideV w:val="single" w:sz="8" w:space="0" w:color="FFFFFF"/>
            </w:tcBorders>
            <w:shd w:fill="EEF4FF"/>
            <w:vAlign w:val="center"/>
          </w:tcPr>
          <w:p>
            <w:pPr>
              <w:spacing w:after="0" w:before="0" w:line="240" w:lineRule="auto"/>
            </w:pPr>
            <w:r>
              <w:rPr>
                <w:rFonts w:ascii="Aptos" w:hAnsi="Aptos"/>
                <w:b w:val="0"/>
                <w:color w:val="111827"/>
                <w:sz w:val="14"/>
              </w:rPr>
              <w:t>MAJ chaque lundi</w:t>
            </w:r>
          </w:p>
        </w:tc>
        <w:tc>
          <w:tcPr>
            <w:tcW w:type="dxa" w:w="1368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  <w:insideH w:val="single" w:sz="8" w:space="0" w:color="FFFFFF"/>
              <w:insideV w:val="single" w:sz="8" w:space="0" w:color="FFFFFF"/>
            </w:tcBorders>
            <w:shd w:fill="BBF7D0"/>
            <w:vAlign w:val="center"/>
          </w:tcPr>
          <w:p>
            <w:pPr>
              <w:spacing w:after="0" w:before="0" w:line="240" w:lineRule="auto"/>
              <w:jc w:val="center"/>
            </w:pPr>
            <w:r>
              <w:rPr>
                <w:rFonts w:ascii="Aptos" w:hAnsi="Aptos"/>
                <w:b/>
                <w:color w:val="1F2937"/>
                <w:sz w:val="15"/>
              </w:rPr>
              <w:t>Actif</w:t>
            </w:r>
          </w:p>
        </w:tc>
      </w:tr>
    </w:tbl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3956"/>
        <w:gridCol w:w="3956"/>
        <w:gridCol w:w="3956"/>
        <w:gridCol w:w="3956"/>
      </w:tblGrid>
      <w:tr>
        <w:tc>
          <w:tcPr>
            <w:tcW w:type="dxa" w:w="3888"/>
            <w:shd w:fill="E0F2FE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  <w:insideH w:val="single" w:sz="12" w:space="0" w:color="FFFFFF"/>
              <w:insideV w:val="single" w:sz="12" w:space="0" w:color="FFFFFF"/>
            </w:tcBorders>
          </w:tcPr>
          <w:p>
            <w:pPr>
              <w:spacing w:after="0" w:line="240" w:lineRule="auto" w:before="0"/>
            </w:pPr>
            <w:r>
              <w:rPr>
                <w:b/>
                <w:color w:val="0B1F3A"/>
                <w:sz w:val="18"/>
              </w:rPr>
              <w:t>Budget &amp; moyens</w:t>
              <w:br/>
            </w:r>
            <w:r>
              <w:rPr>
                <w:color w:val="374151"/>
                <w:sz w:val="15"/>
              </w:rPr>
              <w:t>• Budget activation : 42 000 €</w:t>
              <w:br/>
              <w:t>• 2 commerciaux dédiés</w:t>
              <w:br/>
              <w:t>• CRM nettoyé chaque vendredi</w:t>
            </w:r>
          </w:p>
        </w:tc>
        <w:tc>
          <w:tcPr>
            <w:tcW w:type="dxa" w:w="3888"/>
            <w:shd w:fill="FEF3C7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  <w:insideH w:val="single" w:sz="12" w:space="0" w:color="FFFFFF"/>
              <w:insideV w:val="single" w:sz="12" w:space="0" w:color="FFFFFF"/>
            </w:tcBorders>
          </w:tcPr>
          <w:p>
            <w:pPr>
              <w:spacing w:after="0" w:line="240" w:lineRule="auto" w:before="0"/>
            </w:pPr>
            <w:r>
              <w:rPr>
                <w:b/>
                <w:color w:val="0B1F3A"/>
                <w:sz w:val="18"/>
              </w:rPr>
              <w:t>Risques à surveiller</w:t>
              <w:br/>
            </w:r>
            <w:r>
              <w:rPr>
                <w:color w:val="374151"/>
                <w:sz w:val="15"/>
              </w:rPr>
              <w:t>• Cycle de décision trop long</w:t>
              <w:br/>
              <w:t>• Remises excessives</w:t>
              <w:br/>
              <w:t>• Données prospects incomplètes</w:t>
            </w:r>
          </w:p>
        </w:tc>
        <w:tc>
          <w:tcPr>
            <w:tcW w:type="dxa" w:w="3888"/>
            <w:shd w:fill="DCFCE7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  <w:insideH w:val="single" w:sz="12" w:space="0" w:color="FFFFFF"/>
              <w:insideV w:val="single" w:sz="12" w:space="0" w:color="FFFFFF"/>
            </w:tcBorders>
          </w:tcPr>
          <w:p>
            <w:pPr>
              <w:spacing w:after="0" w:line="240" w:lineRule="auto" w:before="0"/>
            </w:pPr>
            <w:r>
              <w:rPr>
                <w:b/>
                <w:color w:val="0B1F3A"/>
                <w:sz w:val="18"/>
              </w:rPr>
              <w:t>Prochaines décisions</w:t>
              <w:br/>
            </w:r>
            <w:r>
              <w:rPr>
                <w:color w:val="374151"/>
                <w:sz w:val="15"/>
              </w:rPr>
              <w:t>• Valider les 3 offres</w:t>
              <w:br/>
              <w:t>• Choisir les 50 comptes stratégiques</w:t>
              <w:br/>
              <w:t>• Fixer le seuil de remise</w:t>
            </w:r>
          </w:p>
        </w:tc>
        <w:tc>
          <w:tcPr>
            <w:tcW w:type="dxa" w:w="3888"/>
            <w:shd w:fill="FCE7F3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  <w:insideH w:val="single" w:sz="12" w:space="0" w:color="FFFFFF"/>
              <w:insideV w:val="single" w:sz="12" w:space="0" w:color="FFFFFF"/>
            </w:tcBorders>
          </w:tcPr>
          <w:p>
            <w:pPr>
              <w:spacing w:after="0" w:line="240" w:lineRule="auto" w:before="0"/>
            </w:pPr>
            <w:r>
              <w:rPr>
                <w:b/>
                <w:color w:val="0B1F3A"/>
                <w:sz w:val="18"/>
              </w:rPr>
              <w:t>Indicateur final</w:t>
              <w:br/>
            </w:r>
            <w:r>
              <w:rPr>
                <w:color w:val="374151"/>
                <w:sz w:val="15"/>
              </w:rPr>
              <w:t>CA visé : 318 000 €</w:t>
              <w:br/>
              <w:t>Marge brute : 42 %</w:t>
              <w:br/>
              <w:t>Taux conversion : 9 %</w:t>
            </w:r>
          </w:p>
        </w:tc>
      </w:tr>
    </w:tbl>
    <w:p>
      <w:pPr>
        <w:spacing w:before="40" w:after="20"/>
        <w:jc w:val="center"/>
      </w:pPr>
      <w:r>
        <w:rPr>
          <w:b/>
          <w:color w:val="0B1F3A"/>
          <w:sz w:val="17"/>
        </w:rPr>
        <w:t>Feuille de route 90 jours :  Diagnostiquer → Prioriser → Exécuter → Mesurer → Ajuster</w:t>
      </w:r>
    </w:p>
    <w:sectPr w:rsidR="00FC693F" w:rsidRPr="0006063C" w:rsidSect="00034616">
      <w:pgSz w:w="16834" w:h="11909" w:orient="landscape"/>
      <w:pgMar w:top="403" w:right="504" w:bottom="403" w:left="50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Aptos" w:hAnsi="Aptos"/>
      <w:sz w:val="17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