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br/>
        <w:br/>
        <w:br/>
      </w:r>
    </w:p>
    <w:p>
      <w:pPr>
        <w:jc w:val="center"/>
      </w:pPr>
      <w:r>
        <w:rPr>
          <w:b/>
          <w:sz w:val="36"/>
        </w:rPr>
        <w:t>RAPPORT D’ANALYSE STRUCTURÉE</w:t>
        <w:br/>
        <w:t>Arbre à Problème &amp; Cadre Logique</w:t>
      </w:r>
    </w:p>
    <w:p>
      <w:pPr>
        <w:jc w:val="center"/>
      </w:pPr>
      <w:r>
        <w:rPr>
          <w:sz w:val="24"/>
        </w:rPr>
        <w:br/>
        <w:t>Projet : Accès à l'éducation des filles</w:t>
        <w:br/>
        <w:t>Date : Juin 2025</w:t>
      </w:r>
    </w:p>
    <w:p>
      <w:r>
        <w:br w:type="page"/>
      </w:r>
    </w:p>
    <w:p>
      <w:pPr>
        <w:pStyle w:val="Heading2"/>
      </w:pPr>
      <w:r>
        <w:t>1. Introduction</w:t>
      </w:r>
    </w:p>
    <w:p>
      <w:r>
        <w:t>Ce rapport présente une analyse complète sous forme d’arbre à problème, en mettant en évidence les causes profondes, le problème central et les effets directs et indirects. Cette approche permet de visualiser de manière systémique les facteurs contribuant à un enjeu spécifique, ici représenté par le faible taux de scolarisation des filles.</w:t>
      </w:r>
    </w:p>
    <w:p>
      <w:pPr>
        <w:pStyle w:val="Heading2"/>
      </w:pPr>
      <w:r>
        <w:t>2. Arbre à Problème Structuré</w:t>
      </w:r>
    </w:p>
    <w:p>
      <w:r>
        <w:t>Le tableau ci-dessous synthétise l’arbre à problème sous forme horizontale, permettant une lecture logique des liens entre causes et effets.</w:t>
      </w:r>
    </w:p>
    <w:p>
      <w:pPr>
        <w:pStyle w:val="Heading2"/>
      </w:pPr>
      <w:r>
        <w:t>3. Analyse et Interprétation</w:t>
      </w:r>
    </w:p>
    <w:p>
      <w:r>
        <w:t>L’analyse ci-dessus démontre que le problème de scolarisation des filles est enraciné dans des causes économiques, culturelles et structurelles. Les effets sont observables à court terme (effets directs) et à long terme (effets indirects). Ce diagnostic permet de construire une réponse stratégique cohérente via un cadre logique aligné.</w:t>
      </w:r>
    </w:p>
    <w:p>
      <w:pPr>
        <w:pStyle w:val="Heading2"/>
      </w:pPr>
      <w:r>
        <w:t>4. Recommandations</w:t>
      </w:r>
    </w:p>
    <w:p>
      <w:r>
        <w:t>• Mettre en place des bourses ciblées pour réduire les coûts.</w:t>
        <w:br/>
        <w:t>• Améliorer l’accessibilité physique aux écoles (transport).</w:t>
        <w:br/>
        <w:t>• Lancer des campagnes de sensibilisation auprès des parents.</w:t>
        <w:br/>
        <w:t>• Renforcer les politiques de lutte contre le mariage précoce.</w:t>
      </w:r>
    </w:p>
    <w:p>
      <w:pPr>
        <w:pStyle w:val="Heading2"/>
      </w:pPr>
      <w:r>
        <w:t>5. Cadre Logique du Projet</w:t>
      </w:r>
    </w:p>
    <w:p>
      <w:r>
        <w:t>Le tableau ci-dessous présente le cadre logique construit à partir de l’analyse de l’arbre à problème.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Niveau</w:t>
            </w:r>
          </w:p>
        </w:tc>
        <w:tc>
          <w:tcPr>
            <w:tcW w:type="dxa" w:w="1440"/>
          </w:tcPr>
          <w:p>
            <w:r>
              <w:t>Déclaration</w:t>
            </w:r>
          </w:p>
        </w:tc>
        <w:tc>
          <w:tcPr>
            <w:tcW w:type="dxa" w:w="1440"/>
          </w:tcPr>
          <w:p>
            <w:r>
              <w:t>Indicateurs</w:t>
            </w:r>
          </w:p>
        </w:tc>
        <w:tc>
          <w:tcPr>
            <w:tcW w:type="dxa" w:w="1440"/>
          </w:tcPr>
          <w:p>
            <w:r>
              <w:t>Sources</w:t>
            </w:r>
          </w:p>
        </w:tc>
        <w:tc>
          <w:tcPr>
            <w:tcW w:type="dxa" w:w="1440"/>
          </w:tcPr>
          <w:p>
            <w:r>
              <w:t>Échéance</w:t>
            </w:r>
          </w:p>
        </w:tc>
        <w:tc>
          <w:tcPr>
            <w:tcW w:type="dxa" w:w="1440"/>
          </w:tcPr>
          <w:p>
            <w:r>
              <w:t>Hypothèses</w:t>
            </w:r>
          </w:p>
        </w:tc>
      </w:tr>
      <w:tr>
        <w:tc>
          <w:tcPr>
            <w:tcW w:type="dxa" w:w="1440"/>
          </w:tcPr>
          <w:p>
            <w:r>
              <w:t>Objectif Global</w:t>
            </w:r>
          </w:p>
        </w:tc>
        <w:tc>
          <w:tcPr>
            <w:tcW w:type="dxa" w:w="1440"/>
          </w:tcPr>
          <w:p>
            <w:r>
              <w:t>Accès équitable à l’éducation</w:t>
            </w:r>
          </w:p>
        </w:tc>
        <w:tc>
          <w:tcPr>
            <w:tcW w:type="dxa" w:w="1440"/>
          </w:tcPr>
          <w:p>
            <w:r>
              <w:t>Taux national</w:t>
            </w:r>
          </w:p>
        </w:tc>
        <w:tc>
          <w:tcPr>
            <w:tcW w:type="dxa" w:w="1440"/>
          </w:tcPr>
          <w:p>
            <w:r>
              <w:t>Statistiques État</w:t>
            </w:r>
          </w:p>
        </w:tc>
        <w:tc>
          <w:tcPr>
            <w:tcW w:type="dxa" w:w="1440"/>
          </w:tcPr>
          <w:p>
            <w:r>
              <w:t>2027</w:t>
            </w:r>
          </w:p>
        </w:tc>
        <w:tc>
          <w:tcPr>
            <w:tcW w:type="dxa" w:w="1440"/>
          </w:tcPr>
          <w:p>
            <w:r>
              <w:t>Volonté politique</w:t>
            </w:r>
          </w:p>
        </w:tc>
      </w:tr>
      <w:tr>
        <w:tc>
          <w:tcPr>
            <w:tcW w:type="dxa" w:w="1440"/>
          </w:tcPr>
          <w:p>
            <w:r>
              <w:t>Objectif Spécifique</w:t>
            </w:r>
          </w:p>
        </w:tc>
        <w:tc>
          <w:tcPr>
            <w:tcW w:type="dxa" w:w="1440"/>
          </w:tcPr>
          <w:p>
            <w:r>
              <w:t>Scolarisation accrue des filles</w:t>
            </w:r>
          </w:p>
        </w:tc>
        <w:tc>
          <w:tcPr>
            <w:tcW w:type="dxa" w:w="1440"/>
          </w:tcPr>
          <w:p>
            <w:r>
              <w:t>% d’inscriptions</w:t>
            </w:r>
          </w:p>
        </w:tc>
        <w:tc>
          <w:tcPr>
            <w:tcW w:type="dxa" w:w="1440"/>
          </w:tcPr>
          <w:p>
            <w:r>
              <w:t>Rapports écoles</w:t>
            </w:r>
          </w:p>
        </w:tc>
        <w:tc>
          <w:tcPr>
            <w:tcW w:type="dxa" w:w="1440"/>
          </w:tcPr>
          <w:p>
            <w:r>
              <w:t>2026</w:t>
            </w:r>
          </w:p>
        </w:tc>
        <w:tc>
          <w:tcPr>
            <w:tcW w:type="dxa" w:w="1440"/>
          </w:tcPr>
          <w:p>
            <w:r>
              <w:t>Appui local</w:t>
            </w:r>
          </w:p>
        </w:tc>
      </w:tr>
      <w:tr>
        <w:tc>
          <w:tcPr>
            <w:tcW w:type="dxa" w:w="1440"/>
          </w:tcPr>
          <w:p>
            <w:r>
              <w:t>Résultat 1</w:t>
            </w:r>
          </w:p>
        </w:tc>
        <w:tc>
          <w:tcPr>
            <w:tcW w:type="dxa" w:w="1440"/>
          </w:tcPr>
          <w:p>
            <w:r>
              <w:t>Coût réduit</w:t>
            </w:r>
          </w:p>
        </w:tc>
        <w:tc>
          <w:tcPr>
            <w:tcW w:type="dxa" w:w="1440"/>
          </w:tcPr>
          <w:p>
            <w:r>
              <w:t>Frais moyens</w:t>
            </w:r>
          </w:p>
        </w:tc>
        <w:tc>
          <w:tcPr>
            <w:tcW w:type="dxa" w:w="1440"/>
          </w:tcPr>
          <w:p>
            <w:r>
              <w:t>Enquêtes</w:t>
            </w:r>
          </w:p>
        </w:tc>
        <w:tc>
          <w:tcPr>
            <w:tcW w:type="dxa" w:w="1440"/>
          </w:tcPr>
          <w:p>
            <w:r>
              <w:t>2025</w:t>
            </w:r>
          </w:p>
        </w:tc>
        <w:tc>
          <w:tcPr>
            <w:tcW w:type="dxa" w:w="1440"/>
          </w:tcPr>
          <w:p>
            <w:r>
              <w:t>Subvention confirmée</w:t>
            </w:r>
          </w:p>
        </w:tc>
      </w:tr>
      <w:tr>
        <w:tc>
          <w:tcPr>
            <w:tcW w:type="dxa" w:w="1440"/>
          </w:tcPr>
          <w:p>
            <w:r>
              <w:t>Résultat 2</w:t>
            </w:r>
          </w:p>
        </w:tc>
        <w:tc>
          <w:tcPr>
            <w:tcW w:type="dxa" w:w="1440"/>
          </w:tcPr>
          <w:p>
            <w:r>
              <w:t>Transport disponible</w:t>
            </w:r>
          </w:p>
        </w:tc>
        <w:tc>
          <w:tcPr>
            <w:tcW w:type="dxa" w:w="1440"/>
          </w:tcPr>
          <w:p>
            <w:r>
              <w:t># bus actifs</w:t>
            </w:r>
          </w:p>
        </w:tc>
        <w:tc>
          <w:tcPr>
            <w:tcW w:type="dxa" w:w="1440"/>
          </w:tcPr>
          <w:p>
            <w:r>
              <w:t>Rapport logistique</w:t>
            </w:r>
          </w:p>
        </w:tc>
        <w:tc>
          <w:tcPr>
            <w:tcW w:type="dxa" w:w="1440"/>
          </w:tcPr>
          <w:p>
            <w:r>
              <w:t>2025</w:t>
            </w:r>
          </w:p>
        </w:tc>
        <w:tc>
          <w:tcPr>
            <w:tcW w:type="dxa" w:w="1440"/>
          </w:tcPr>
          <w:p>
            <w:r>
              <w:t>Accès véhicules</w:t>
            </w:r>
          </w:p>
        </w:tc>
      </w:tr>
      <w:tr>
        <w:tc>
          <w:tcPr>
            <w:tcW w:type="dxa" w:w="1440"/>
          </w:tcPr>
          <w:p>
            <w:r>
              <w:t>Activité 1</w:t>
            </w:r>
          </w:p>
        </w:tc>
        <w:tc>
          <w:tcPr>
            <w:tcW w:type="dxa" w:w="1440"/>
          </w:tcPr>
          <w:p>
            <w:r>
              <w:t>Programme bourses</w:t>
            </w:r>
          </w:p>
        </w:tc>
        <w:tc>
          <w:tcPr>
            <w:tcW w:type="dxa" w:w="1440"/>
          </w:tcPr>
          <w:p>
            <w:r>
              <w:t>Montant alloué</w:t>
            </w:r>
          </w:p>
        </w:tc>
        <w:tc>
          <w:tcPr>
            <w:tcW w:type="dxa" w:w="1440"/>
          </w:tcPr>
          <w:p>
            <w:r>
              <w:t>Documents projet</w:t>
            </w:r>
          </w:p>
        </w:tc>
        <w:tc>
          <w:tcPr>
            <w:tcW w:type="dxa" w:w="1440"/>
          </w:tcPr>
          <w:p>
            <w:r>
              <w:t>2024</w:t>
            </w:r>
          </w:p>
        </w:tc>
        <w:tc>
          <w:tcPr>
            <w:tcW w:type="dxa" w:w="1440"/>
          </w:tcPr>
          <w:p>
            <w:r>
              <w:t>Budget validé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