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MODÈLE VISUEL D’ORGANIGRAMME HIÉRARCHIQUE &amp; FONCTIONNEL RH – VERSION COMPLÈTE 2025</w:t>
      </w:r>
    </w:p>
    <w:p>
      <w:pPr>
        <w:pStyle w:val="BodyText"/>
      </w:pPr>
      <w:r>
        <w:t xml:space="preserve">🎯 Objectif : offrir un modèle</w:t>
      </w:r>
      <w:r>
        <w:t xml:space="preserve"> </w:t>
      </w:r>
      <w:r>
        <w:rPr>
          <w:b/>
          <w:bCs/>
        </w:rPr>
        <w:t xml:space="preserve">réutilisable, modulaire et visuellement structuré</w:t>
      </w:r>
      <w:r>
        <w:t xml:space="preserve"> </w:t>
      </w:r>
      <w:r>
        <w:t xml:space="preserve">pour représenter les</w:t>
      </w:r>
      <w:r>
        <w:t xml:space="preserve"> </w:t>
      </w:r>
      <w:r>
        <w:rPr>
          <w:b/>
          <w:bCs/>
        </w:rPr>
        <w:t xml:space="preserve">relations hiérarchiques</w:t>
      </w:r>
      <w:r>
        <w:t xml:space="preserve"> </w:t>
      </w:r>
      <w:r>
        <w:t xml:space="preserve">et</w:t>
      </w:r>
      <w:r>
        <w:t xml:space="preserve"> </w:t>
      </w:r>
      <w:r>
        <w:rPr>
          <w:b/>
          <w:bCs/>
        </w:rPr>
        <w:t xml:space="preserve">fonctionnelles</w:t>
      </w:r>
      <w:r>
        <w:t xml:space="preserve"> </w:t>
      </w:r>
      <w:r>
        <w:t xml:space="preserve">au sein d’un service RH étendu.</w:t>
      </w:r>
    </w:p>
    <w:p>
      <w:r>
        <w:pict>
          <v:rect style="width:0;height:1.5pt" o:hralign="center" o:hrstd="t" o:hr="t"/>
        </w:pict>
      </w:r>
    </w:p>
    <w:bookmarkStart w:id="20" w:name="i.-organigramme-hiérarchique-complet"/>
    <w:p>
      <w:pPr>
        <w:pStyle w:val="Heading3"/>
      </w:pPr>
      <w:r>
        <w:t xml:space="preserve">🔵 I. ORGANIGRAMME HIÉRARCHIQUE COMPLET</w: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b/>
          <w:bCs/>
        </w:rPr>
        <w:t xml:space="preserve">Structure verticale par pôle RH – De la Direction RH aux exécutants</w:t>
      </w:r>
    </w:p>
    <w:p>
      <w:pPr>
        <w:pStyle w:val="SourceCode"/>
      </w:pPr>
      <w:r>
        <w:rPr>
          <w:rStyle w:val="VerbatimChar"/>
        </w:rPr>
        <w:t xml:space="preserve">                                 [Direction Générale]</w:t>
      </w:r>
      <w:r>
        <w:br/>
      </w:r>
      <w:r>
        <w:rPr>
          <w:rStyle w:val="VerbatimChar"/>
        </w:rPr>
        <w:t xml:space="preserve">                                          ⬇️</w:t>
      </w:r>
      <w:r>
        <w:br/>
      </w:r>
      <w:r>
        <w:rPr>
          <w:rStyle w:val="VerbatimChar"/>
        </w:rPr>
        <w:t xml:space="preserve">                    [Direction des Ressources Humaines (DRH)]</w:t>
      </w:r>
      <w:r>
        <w:br/>
      </w:r>
      <w:r>
        <w:rPr>
          <w:rStyle w:val="VerbatimChar"/>
        </w:rPr>
        <w:t xml:space="preserve">                                          ⬇️</w:t>
      </w:r>
      <w:r>
        <w:br/>
      </w:r>
      <w:r>
        <w:rPr>
          <w:rStyle w:val="VerbatimChar"/>
        </w:rPr>
        <w:t xml:space="preserve"> ┌──────────────────────────────┬────────────────────────────┬────────────────────────────┐</w:t>
      </w:r>
      <w:r>
        <w:br/>
      </w:r>
      <w:r>
        <w:rPr>
          <w:rStyle w:val="VerbatimChar"/>
        </w:rPr>
        <w:t xml:space="preserve"> │     Pôle Admin &amp; Paie        │     Pôle Recrutement        │     Pôle Développement RH   │</w:t>
      </w:r>
      <w:r>
        <w:br/>
      </w:r>
      <w:r>
        <w:rPr>
          <w:rStyle w:val="VerbatimChar"/>
        </w:rPr>
        <w:t xml:space="preserve"> └──────────────────────────────┴────────────────────────────┴────────────────────────────┘</w:t>
      </w:r>
      <w:r>
        <w:br/>
      </w:r>
      <w:r>
        <w:rPr>
          <w:rStyle w:val="VerbatimChar"/>
        </w:rPr>
        <w:t xml:space="preserve">           ⬇️                                  ⬇️                              ⬇️</w:t>
      </w:r>
      <w:r>
        <w:br/>
      </w:r>
      <w:r>
        <w:rPr>
          <w:rStyle w:val="VerbatimChar"/>
        </w:rPr>
        <w:t xml:space="preserve">  - Responsable Paie             - Responsable Recrutement     - Responsable Formation</w:t>
      </w:r>
      <w:r>
        <w:br/>
      </w:r>
      <w:r>
        <w:rPr>
          <w:rStyle w:val="VerbatimChar"/>
        </w:rPr>
        <w:t xml:space="preserve">  - Gestionnaire Paie            - Chargé(e) de Recrutement    - Référent Compétences</w:t>
      </w:r>
      <w:r>
        <w:br/>
      </w:r>
      <w:r>
        <w:rPr>
          <w:rStyle w:val="VerbatimChar"/>
        </w:rPr>
        <w:t xml:space="preserve">  - Chargé(e) du personnel       - Chargé(e) de Mobilité       - Chargé(e) GPEC</w:t>
      </w:r>
    </w:p>
    <w:p>
      <w:r>
        <w:pict>
          <v:rect style="width:0;height:1.5pt" o:hralign="center" o:hrstd="t" o:hr="t"/>
        </w:pict>
      </w:r>
    </w:p>
    <w:bookmarkEnd w:id="20"/>
    <w:bookmarkStart w:id="21" w:name="X37e9d533f2f24db4ef541e47cc4445fb3f9bc28"/>
    <w:p>
      <w:pPr>
        <w:pStyle w:val="Heading3"/>
      </w:pPr>
      <w:r>
        <w:t xml:space="preserve">🟢 II. ORGANIGRAMME FONCTIONNEL (RELATIONS TRANSVERSALES)</w: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b/>
          <w:bCs/>
        </w:rPr>
        <w:t xml:space="preserve">Interactions transverses avec d’autres directions ou acteurs internes</w:t>
      </w:r>
    </w:p>
    <w:p>
      <w:pPr>
        <w:pStyle w:val="SourceCode"/>
      </w:pPr>
      <w:r>
        <w:rPr>
          <w:rStyle w:val="VerbatimChar"/>
        </w:rPr>
        <w:t xml:space="preserve">             [DSI] ⇄ Responsable SIRH</w:t>
      </w:r>
      <w:r>
        <w:br/>
      </w:r>
      <w:r>
        <w:rPr>
          <w:rStyle w:val="VerbatimChar"/>
        </w:rPr>
        <w:t xml:space="preserve">             [Direction Juridique] ⇄ Référent RGPD RH</w:t>
      </w:r>
      <w:r>
        <w:br/>
      </w:r>
      <w:r>
        <w:rPr>
          <w:rStyle w:val="VerbatimChar"/>
        </w:rPr>
        <w:t xml:space="preserve">             [QHSE] ⇄ Référent Conditions Travail / Handicap</w:t>
      </w:r>
      <w:r>
        <w:br/>
      </w:r>
      <w:r>
        <w:rPr>
          <w:rStyle w:val="VerbatimChar"/>
        </w:rPr>
        <w:t xml:space="preserve">             [Finance] ⇄ Contrôle de gestion sociale RH</w:t>
      </w:r>
      <w:r>
        <w:br/>
      </w:r>
      <w:r>
        <w:rPr>
          <w:rStyle w:val="VerbatimChar"/>
        </w:rPr>
        <w:t xml:space="preserve">             [Comité CSE] ⇄ Référent Dialogue Social RH</w:t>
      </w:r>
      <w:r>
        <w:br/>
      </w:r>
      <w:r>
        <w:rPr>
          <w:rStyle w:val="VerbatimChar"/>
        </w:rPr>
        <w:t xml:space="preserve">             [Direction Communication] ⇄ Chargé.e Marque Employeur RH</w:t>
      </w:r>
    </w:p>
    <w:p>
      <w:r>
        <w:pict>
          <v:rect style="width:0;height:1.5pt" o:hralign="center" o:hrstd="t" o:hr="t"/>
        </w:pict>
      </w:r>
    </w:p>
    <w:bookmarkEnd w:id="21"/>
    <w:bookmarkStart w:id="22" w:name="iii.-modularité-possible"/>
    <w:p>
      <w:pPr>
        <w:pStyle w:val="Heading3"/>
      </w:pPr>
      <w:r>
        <w:t xml:space="preserve">🧭 III. MODULARITÉ POSSIBLE</w:t>
      </w:r>
    </w:p>
    <w:p>
      <w:pPr>
        <w:pStyle w:val="Compact"/>
        <w:numPr>
          <w:ilvl w:val="0"/>
          <w:numId w:val="1001"/>
        </w:numPr>
      </w:pPr>
      <w:r>
        <w:t xml:space="preserve">✅ Ajouter un</w:t>
      </w:r>
      <w:r>
        <w:t xml:space="preserve"> </w:t>
      </w:r>
      <w:r>
        <w:rPr>
          <w:b/>
          <w:bCs/>
        </w:rPr>
        <w:t xml:space="preserve">pôle Relations Sociales</w:t>
      </w:r>
      <w:r>
        <w:t xml:space="preserve"> </w:t>
      </w:r>
      <w:r>
        <w:t xml:space="preserve">ou</w:t>
      </w:r>
      <w:r>
        <w:t xml:space="preserve"> </w:t>
      </w:r>
      <w:r>
        <w:rPr>
          <w:b/>
          <w:bCs/>
        </w:rPr>
        <w:t xml:space="preserve">QVT</w:t>
      </w:r>
      <w:r>
        <w:t xml:space="preserve"> </w:t>
      </w:r>
      <w:r>
        <w:t xml:space="preserve">en structure modulaire</w:t>
      </w:r>
    </w:p>
    <w:p>
      <w:pPr>
        <w:pStyle w:val="Compact"/>
        <w:numPr>
          <w:ilvl w:val="0"/>
          <w:numId w:val="1001"/>
        </w:numPr>
      </w:pPr>
      <w:r>
        <w:t xml:space="preserve">✅ Dupliquer les pôles pour</w:t>
      </w:r>
      <w:r>
        <w:t xml:space="preserve"> </w:t>
      </w:r>
      <w:r>
        <w:rPr>
          <w:b/>
          <w:bCs/>
        </w:rPr>
        <w:t xml:space="preserve">multi-sites</w:t>
      </w:r>
      <w:r>
        <w:t xml:space="preserve"> </w:t>
      </w:r>
      <w:r>
        <w:t xml:space="preserve">ou</w:t>
      </w:r>
      <w:r>
        <w:t xml:space="preserve"> </w:t>
      </w:r>
      <w:r>
        <w:rPr>
          <w:b/>
          <w:bCs/>
        </w:rPr>
        <w:t xml:space="preserve">filiales</w:t>
      </w:r>
    </w:p>
    <w:p>
      <w:pPr>
        <w:pStyle w:val="Compact"/>
        <w:numPr>
          <w:ilvl w:val="0"/>
          <w:numId w:val="1001"/>
        </w:numPr>
      </w:pPr>
      <w:r>
        <w:t xml:space="preserve">✅ Utilisable pour 5, 15 ou 50 collaborateurs RH</w:t>
      </w:r>
    </w:p>
    <w:p>
      <w:pPr>
        <w:pStyle w:val="Compact"/>
        <w:numPr>
          <w:ilvl w:val="0"/>
          <w:numId w:val="1001"/>
        </w:numPr>
      </w:pPr>
      <w:r>
        <w:t xml:space="preserve">✅ Adaptable en outils comme PowerPoint, Lucidchart, Notion, Canva…</w:t>
      </w:r>
    </w:p>
    <w:p>
      <w:r>
        <w:pict>
          <v:rect style="width:0;height:1.5pt" o:hralign="center" o:hrstd="t" o:hr="t"/>
        </w:pict>
      </w:r>
    </w:p>
    <w:bookmarkEnd w:id="22"/>
    <w:bookmarkStart w:id="23" w:name="iv.-visualisation-recommandée"/>
    <w:p>
      <w:pPr>
        <w:pStyle w:val="Heading3"/>
      </w:pPr>
      <w:r>
        <w:t xml:space="preserve">🖼️ IV. VISUALISATION RECOMMANDÉE</w:t>
      </w:r>
    </w:p>
    <w:p>
      <w:pPr>
        <w:numPr>
          <w:ilvl w:val="0"/>
          <w:numId w:val="1002"/>
        </w:numPr>
      </w:pPr>
      <w:r>
        <w:t xml:space="preserve">Couleurs :</w:t>
      </w:r>
    </w:p>
    <w:p>
      <w:pPr>
        <w:pStyle w:val="Compact"/>
        <w:numPr>
          <w:ilvl w:val="1"/>
          <w:numId w:val="1003"/>
        </w:numPr>
      </w:pPr>
      <w:r>
        <w:t xml:space="preserve">🔵 Hiérarchique (bleu)</w:t>
      </w:r>
    </w:p>
    <w:p>
      <w:pPr>
        <w:pStyle w:val="Compact"/>
        <w:numPr>
          <w:ilvl w:val="1"/>
          <w:numId w:val="1003"/>
        </w:numPr>
      </w:pPr>
      <w:r>
        <w:t xml:space="preserve">🟢 Fonctionnel (vert)</w:t>
      </w:r>
    </w:p>
    <w:p>
      <w:pPr>
        <w:pStyle w:val="Compact"/>
        <w:numPr>
          <w:ilvl w:val="1"/>
          <w:numId w:val="1003"/>
        </w:numPr>
      </w:pPr>
      <w:r>
        <w:t xml:space="preserve">🟣 Support / transverse (violet)</w:t>
      </w:r>
    </w:p>
    <w:p>
      <w:pPr>
        <w:numPr>
          <w:ilvl w:val="0"/>
          <w:numId w:val="1002"/>
        </w:numPr>
      </w:pPr>
      <w:r>
        <w:t xml:space="preserve">Formes :</w:t>
      </w:r>
    </w:p>
    <w:p>
      <w:pPr>
        <w:pStyle w:val="Compact"/>
        <w:numPr>
          <w:ilvl w:val="1"/>
          <w:numId w:val="1004"/>
        </w:numPr>
      </w:pPr>
      <w:r>
        <w:t xml:space="preserve">📦 Carré : poste RH</w:t>
      </w:r>
    </w:p>
    <w:p>
      <w:pPr>
        <w:pStyle w:val="Compact"/>
        <w:numPr>
          <w:ilvl w:val="1"/>
          <w:numId w:val="1004"/>
        </w:numPr>
      </w:pPr>
      <w:r>
        <w:t xml:space="preserve">🔄 Double flèche : lien transverse</w:t>
      </w:r>
    </w:p>
    <w:p>
      <w:pPr>
        <w:pStyle w:val="Compact"/>
        <w:numPr>
          <w:ilvl w:val="1"/>
          <w:numId w:val="1004"/>
        </w:numPr>
      </w:pPr>
      <w:r>
        <w:t xml:space="preserve">🧩 Icône : si intégré à un outil SIRH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📄 Ce modèle peut être converti en fichier PowerPoint ou PDF graphique sur demande.</w:t>
      </w:r>
    </w:p>
    <w:p>
      <w:pPr>
        <w:pStyle w:val="BodyText"/>
      </w:pPr>
      <w:r>
        <w:rPr>
          <w:i/>
          <w:iCs/>
        </w:rPr>
        <w:t xml:space="preserve">🔗 Pour créer une version dynamique : utilisez Lucidchart, Creately, Power BI OrgView, Notion ou Google Drawings.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2025-06-25T01:28:48Z</dcterms:created>
  <dcterms:modified xsi:type="dcterms:W3CDTF">2025-06-25T01:28:48Z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