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FICHE MÉTHODE : Choix et usage des outils de contrôle de gestion</w:t>
      </w:r>
    </w:p>
    <w:p>
      <w:pPr>
        <w:pStyle w:val="Heading2"/>
      </w:pPr>
      <w:r>
        <w:t>1. Objectif de la démarche</w:t>
      </w:r>
    </w:p>
    <w:p>
      <w:r>
        <w:t>Le contrôle de gestion vise à piloter la performance en fournissant aux décideurs des informations fiables, structurées et orientées vers l’action. Le choix des outils ne relève ni d’une simple transposition de modèles standards, ni d’une accumulation d’instruments, mais d’une cohérence entre finalité, organisation et ressources disponibles.</w:t>
      </w:r>
    </w:p>
    <w:p>
      <w:pPr>
        <w:pStyle w:val="Heading2"/>
      </w:pPr>
      <w:r>
        <w:t>2. Principes directeurs pour le choix des outils</w:t>
      </w:r>
    </w:p>
    <w:p>
      <w:pPr>
        <w:pStyle w:val="Heading3"/>
      </w:pPr>
      <w:r>
        <w:t>2.1. Alignement stratégique</w:t>
      </w:r>
    </w:p>
    <w:p>
      <w:r>
        <w:t>L’outil doit répondre à une finalité précise : suivi des coûts, pilotage opérationnel, appui à la décision stratégique. Le choix s’oriente selon le niveau de décision ciblé (opérationnel, tactique, stratégique).</w:t>
      </w:r>
    </w:p>
    <w:p>
      <w:pPr>
        <w:pStyle w:val="Heading3"/>
      </w:pPr>
      <w:r>
        <w:t>2.2. Pertinence des données disponibles</w:t>
      </w:r>
    </w:p>
    <w:p>
      <w:r>
        <w:t>Un outil de contrôle performant s’appuie sur des données exploitables en temps utile. Il convient de sélectionner des instruments adaptés à la qualité, la fréquence et la granularité des données réellement collectées.</w:t>
      </w:r>
    </w:p>
    <w:p>
      <w:pPr>
        <w:pStyle w:val="Heading3"/>
      </w:pPr>
      <w:r>
        <w:t>2.3. Simplicité d’intégration</w:t>
      </w:r>
    </w:p>
    <w:p>
      <w:r>
        <w:t>La valeur d’un outil réside autant dans sa puissance analytique que dans sa facilité de prise en main. Les outils retenus doivent être compatibles avec les compétences internes et le système d’information en place.</w:t>
      </w:r>
    </w:p>
    <w:p>
      <w:pPr>
        <w:pStyle w:val="Heading3"/>
      </w:pPr>
      <w:r>
        <w:t>2.4. Réversibilité et évolutivité</w:t>
      </w:r>
    </w:p>
    <w:p>
      <w:r>
        <w:t>Le contexte évolue, les outils doivent pouvoir être adaptés sans devoir être refondus. Un bon outil permet l’itération, l’amélioration progressive et l’ajustement aux nouvelles contraintes.</w:t>
      </w:r>
    </w:p>
    <w:p>
      <w:pPr>
        <w:pStyle w:val="Heading2"/>
      </w:pPr>
      <w:r>
        <w:t>3. Typologie des outils et conditions d’usage</w:t>
      </w:r>
    </w:p>
    <w:tbl>
      <w:tblPr>
        <w:tblStyle w:val="TableGrid"/>
        <w:tblW w:type="auto" w:w="0"/>
        <w:tblLook w:firstColumn="1" w:firstRow="1" w:lastColumn="0" w:lastRow="0" w:noHBand="0" w:noVBand="1" w:val="04A0"/>
      </w:tblPr>
      <w:tblGrid>
        <w:gridCol w:w="2880"/>
        <w:gridCol w:w="2880"/>
        <w:gridCol w:w="2880"/>
      </w:tblGrid>
      <w:tr>
        <w:tc>
          <w:tcPr>
            <w:tcW w:type="dxa" w:w="2880"/>
          </w:tcPr>
          <w:p>
            <w:r>
              <w:t>Outil</w:t>
            </w:r>
          </w:p>
        </w:tc>
        <w:tc>
          <w:tcPr>
            <w:tcW w:type="dxa" w:w="2880"/>
          </w:tcPr>
          <w:p>
            <w:r>
              <w:t>Finalité</w:t>
            </w:r>
          </w:p>
        </w:tc>
        <w:tc>
          <w:tcPr>
            <w:tcW w:type="dxa" w:w="2880"/>
          </w:tcPr>
          <w:p>
            <w:r>
              <w:t>Conditions d’usage efficaces</w:t>
            </w:r>
          </w:p>
        </w:tc>
      </w:tr>
      <w:tr>
        <w:tc>
          <w:tcPr>
            <w:tcW w:type="dxa" w:w="2880"/>
          </w:tcPr>
          <w:p>
            <w:r>
              <w:t>Tableau de bord prospectif (BSC)</w:t>
            </w:r>
          </w:p>
        </w:tc>
        <w:tc>
          <w:tcPr>
            <w:tcW w:type="dxa" w:w="2880"/>
          </w:tcPr>
          <w:p>
            <w:r>
              <w:t>Suivi équilibré de la performance</w:t>
            </w:r>
          </w:p>
        </w:tc>
        <w:tc>
          <w:tcPr>
            <w:tcW w:type="dxa" w:w="2880"/>
          </w:tcPr>
          <w:p>
            <w:r>
              <w:t>Définition claire des objectifs, indicateurs bien choisis, suivi régulier</w:t>
            </w:r>
          </w:p>
        </w:tc>
      </w:tr>
      <w:tr>
        <w:tc>
          <w:tcPr>
            <w:tcW w:type="dxa" w:w="2880"/>
          </w:tcPr>
          <w:p>
            <w:r>
              <w:t>Budgets glissants / flexibles</w:t>
            </w:r>
          </w:p>
        </w:tc>
        <w:tc>
          <w:tcPr>
            <w:tcW w:type="dxa" w:w="2880"/>
          </w:tcPr>
          <w:p>
            <w:r>
              <w:t>Pilotage financier réactif</w:t>
            </w:r>
          </w:p>
        </w:tc>
        <w:tc>
          <w:tcPr>
            <w:tcW w:type="dxa" w:w="2880"/>
          </w:tcPr>
          <w:p>
            <w:r>
              <w:t>Données actualisables, implication des responsables, cycles courts</w:t>
            </w:r>
          </w:p>
        </w:tc>
      </w:tr>
      <w:tr>
        <w:tc>
          <w:tcPr>
            <w:tcW w:type="dxa" w:w="2880"/>
          </w:tcPr>
          <w:p>
            <w:r>
              <w:t>Analyse ABC (Activity-Based Costing)</w:t>
            </w:r>
          </w:p>
        </w:tc>
        <w:tc>
          <w:tcPr>
            <w:tcW w:type="dxa" w:w="2880"/>
          </w:tcPr>
          <w:p>
            <w:r>
              <w:t>Analyse fine des coûts par activité</w:t>
            </w:r>
          </w:p>
        </w:tc>
        <w:tc>
          <w:tcPr>
            <w:tcW w:type="dxa" w:w="2880"/>
          </w:tcPr>
          <w:p>
            <w:r>
              <w:t>Connaissance des processus internes, collecte rigoureuse des inducteurs</w:t>
            </w:r>
          </w:p>
        </w:tc>
      </w:tr>
      <w:tr>
        <w:tc>
          <w:tcPr>
            <w:tcW w:type="dxa" w:w="2880"/>
          </w:tcPr>
          <w:p>
            <w:r>
              <w:t>Coût cible</w:t>
            </w:r>
          </w:p>
        </w:tc>
        <w:tc>
          <w:tcPr>
            <w:tcW w:type="dxa" w:w="2880"/>
          </w:tcPr>
          <w:p>
            <w:r>
              <w:t>Maîtrise des coûts dès la conception</w:t>
            </w:r>
          </w:p>
        </w:tc>
        <w:tc>
          <w:tcPr>
            <w:tcW w:type="dxa" w:w="2880"/>
          </w:tcPr>
          <w:p>
            <w:r>
              <w:t>Pertinent pour développement produit, besoin de collaboration interservices</w:t>
            </w:r>
          </w:p>
        </w:tc>
      </w:tr>
      <w:tr>
        <w:tc>
          <w:tcPr>
            <w:tcW w:type="dxa" w:w="2880"/>
          </w:tcPr>
          <w:p>
            <w:r>
              <w:t>Tableurs / ERP simplifiés</w:t>
            </w:r>
          </w:p>
        </w:tc>
        <w:tc>
          <w:tcPr>
            <w:tcW w:type="dxa" w:w="2880"/>
          </w:tcPr>
          <w:p>
            <w:r>
              <w:t>Traitement, consolidation, reporting</w:t>
            </w:r>
          </w:p>
        </w:tc>
        <w:tc>
          <w:tcPr>
            <w:tcW w:type="dxa" w:w="2880"/>
          </w:tcPr>
          <w:p>
            <w:r>
              <w:t>Compétences bureautiques, standardisation des formats de saisie</w:t>
            </w:r>
          </w:p>
        </w:tc>
      </w:tr>
      <w:tr>
        <w:tc>
          <w:tcPr>
            <w:tcW w:type="dxa" w:w="2880"/>
          </w:tcPr>
          <w:p>
            <w:r>
              <w:t>Indicateurs de performance (KPI)</w:t>
            </w:r>
          </w:p>
        </w:tc>
        <w:tc>
          <w:tcPr>
            <w:tcW w:type="dxa" w:w="2880"/>
          </w:tcPr>
          <w:p>
            <w:r>
              <w:t>Mesure de la performance opérationnelle</w:t>
            </w:r>
          </w:p>
        </w:tc>
        <w:tc>
          <w:tcPr>
            <w:tcW w:type="dxa" w:w="2880"/>
          </w:tcPr>
          <w:p>
            <w:r>
              <w:t>Indicateurs limités, clairs, directement actionnables</w:t>
            </w:r>
          </w:p>
        </w:tc>
      </w:tr>
      <w:tr>
        <w:tc>
          <w:tcPr>
            <w:tcW w:type="dxa" w:w="2880"/>
          </w:tcPr>
          <w:p>
            <w:r>
              <w:t>Outils de prévision / rolling forecast</w:t>
            </w:r>
          </w:p>
        </w:tc>
        <w:tc>
          <w:tcPr>
            <w:tcW w:type="dxa" w:w="2880"/>
          </w:tcPr>
          <w:p>
            <w:r>
              <w:t>Anticipation des écarts</w:t>
            </w:r>
          </w:p>
        </w:tc>
        <w:tc>
          <w:tcPr>
            <w:tcW w:type="dxa" w:w="2880"/>
          </w:tcPr>
          <w:p>
            <w:r>
              <w:t>Données historiques fiables, capacité à projeter scénarios réalistes</w:t>
            </w:r>
          </w:p>
        </w:tc>
      </w:tr>
    </w:tbl>
    <w:p>
      <w:pPr>
        <w:pStyle w:val="Heading2"/>
      </w:pPr>
      <w:r>
        <w:t>4. Bonnes pratiques d’implémentation</w:t>
      </w:r>
    </w:p>
    <w:p>
      <w:r>
        <w:t>- Co-construction avec les utilisateurs : impliquer les équipes dès la sélection des outils pour assurer leur appropriation.</w:t>
        <w:br/>
        <w:t>- Formation continue : accompagner les utilisateurs dans la lecture, l’interprétation et l’exploitation des résultats produits.</w:t>
        <w:br/>
        <w:t>- Révision périodique des outils : ajuster les dispositifs aux mutations internes et aux exigences de l’environnement externe.</w:t>
        <w:br/>
        <w:t>- Limiter le nombre d’outils : privilégier la lisibilité et la cohérence globale à la prolifération des instruments.</w:t>
      </w:r>
    </w:p>
    <w:p>
      <w:pPr>
        <w:pStyle w:val="Heading2"/>
      </w:pPr>
      <w:r>
        <w:t>5. Conclusion</w:t>
      </w:r>
    </w:p>
    <w:p>
      <w:r>
        <w:t>Un outil de contrôle de gestion n’a de valeur que s’il éclaire la décision et oriente l’action. Sa pertinence ne réside pas dans sa complexité, mais dans sa capacité à traduire les objectifs en leviers opérationnels. Le contrôleur de gestion doit penser en architecte du pilotage, construisant des instruments proportionnés, évolutifs et intelligemment reliés à la stratégie de l’entreprise.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