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Rapport de Gouvernance – Exercice 2024</w:t>
      </w:r>
    </w:p>
    <w:p>
      <w:r>
        <w:t>Ce rapport présente l’état de la gouvernance de l’entreprise pour l’exercice 2024. Il détaille la structure des instances, leur fonctionnement, ainsi que les principaux indicateurs de suivi. L’objectif est de garantir la transparence, l’efficacité décisionnelle et la conformité aux bonnes pratiques.</w:t>
      </w:r>
    </w:p>
    <w:p>
      <w:pPr>
        <w:pStyle w:val="Heading1"/>
      </w:pPr>
      <w:r>
        <w:t>1. Structure de gouvernance</w:t>
      </w:r>
    </w:p>
    <w:p>
      <w:r>
        <w:t>• Conseil d'administration composé de 7 membres, dont 3 indépendants.</w:t>
        <w:br/>
        <w:t>• Présidence distincte de la Direction Générale.</w:t>
        <w:br/>
        <w:t>• Existence de trois comités : Audit, Rémunérations, RSE.</w:t>
      </w:r>
    </w:p>
    <w:p>
      <w:pPr>
        <w:pStyle w:val="Heading1"/>
      </w:pPr>
      <w:r>
        <w:t>2. Fréquence et participation</w:t>
      </w:r>
    </w:p>
    <w:p>
      <w:r>
        <w:t>• 5 réunions du conseil tenues au cours de l’année.</w:t>
        <w:br/>
        <w:t>• Taux moyen de participation : 95%.</w:t>
        <w:br/>
        <w:t>• Mise en place de comptes-rendus validés sous 15 jours.</w:t>
      </w:r>
    </w:p>
    <w:p>
      <w:pPr>
        <w:pStyle w:val="Heading1"/>
      </w:pPr>
      <w:r>
        <w:t>3. Équilibre et diversité</w:t>
      </w:r>
    </w:p>
    <w:p>
      <w:r>
        <w:t>• Parité : 3 femmes / 4 hommes au sein du conseil.</w:t>
        <w:br/>
        <w:t>• Représentation des parties prenantes : un administrateur salarié.</w:t>
        <w:br/>
        <w:t>• Réflexion engagée sur la diversité générationnelle.</w:t>
      </w:r>
    </w:p>
    <w:p>
      <w:pPr>
        <w:pStyle w:val="Heading1"/>
      </w:pPr>
      <w:r>
        <w:t>4. Éthique et conformité</w:t>
      </w:r>
    </w:p>
    <w:p>
      <w:r>
        <w:t>• Aucune alerte éthique signalée.</w:t>
        <w:br/>
        <w:t>• Charte de gouvernance mise à jour et diffusée à l’ensemble des membres.</w:t>
        <w:br/>
        <w:t>• Un audit externe réalisé en novembre 2024.</w:t>
      </w:r>
    </w:p>
    <w:p>
      <w:pPr>
        <w:pStyle w:val="Heading1"/>
      </w:pPr>
      <w:r>
        <w:t>5. Suivi des indicateurs</w:t>
      </w:r>
    </w:p>
    <w:p>
      <w:r>
        <w:t>• Participation aux conseils : 95%</w:t>
        <w:br/>
        <w:t>• Administrateurs indépendants : 43%</w:t>
        <w:br/>
        <w:t>• Taux de satisfaction des membres (auto-évaluation) : 88%</w:t>
        <w:br/>
        <w:t>• Délai moyen de décision stratégique : 42 jours</w:t>
      </w:r>
    </w:p>
    <w:p>
      <w:pPr>
        <w:pStyle w:val="Heading1"/>
      </w:pPr>
      <w:r>
        <w:t>6. Perspectives 2025</w:t>
      </w:r>
    </w:p>
    <w:p>
      <w:r>
        <w:t>• Renforcement du suivi RSE à travers un comité dédié trimestriel.</w:t>
        <w:br/>
        <w:t>• Intégration d’un nouvel administrateur avec profil ESG.</w:t>
        <w:br/>
        <w:t>• Digitalisation des outils de gouvernance et reporting.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