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Questionnaire – Évaluation des Compétences Professionnelles</w:t>
      </w:r>
    </w:p>
    <w:p>
      <w:r>
        <w:t>Veuillez cocher la case correspondant au niveau de compétence observé pour chaque critère.</w:t>
      </w:r>
    </w:p>
    <w:p>
      <w:r>
        <w:t>Niveaux d'évaluation :</w:t>
      </w:r>
    </w:p>
    <w:p>
      <w:r>
        <w:t>☐ 1 – Non maîtrisé     ☐ 2 – En développement     ☐ 3 – Acquis     ☐ 4 – Expert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  <w:sz w:val="20"/>
              </w:rPr>
              <w:t>Compétence</w:t>
            </w:r>
          </w:p>
        </w:tc>
        <w:tc>
          <w:tcPr>
            <w:tcW w:type="dxa" w:w="1728"/>
          </w:tcPr>
          <w:p>
            <w:r>
              <w:rPr>
                <w:b/>
                <w:sz w:val="20"/>
              </w:rPr>
              <w:t>1</w:t>
            </w:r>
          </w:p>
        </w:tc>
        <w:tc>
          <w:tcPr>
            <w:tcW w:type="dxa" w:w="1728"/>
          </w:tcPr>
          <w:p>
            <w:r>
              <w:rPr>
                <w:b/>
                <w:sz w:val="20"/>
              </w:rPr>
              <w:t>2</w:t>
            </w:r>
          </w:p>
        </w:tc>
        <w:tc>
          <w:tcPr>
            <w:tcW w:type="dxa" w:w="1728"/>
          </w:tcPr>
          <w:p>
            <w:r>
              <w:rPr>
                <w:b/>
                <w:sz w:val="20"/>
              </w:rPr>
              <w:t>3</w:t>
            </w:r>
          </w:p>
        </w:tc>
        <w:tc>
          <w:tcPr>
            <w:tcW w:type="dxa" w:w="1728"/>
          </w:tcPr>
          <w:p>
            <w:r>
              <w:rPr>
                <w:b/>
                <w:sz w:val="20"/>
              </w:rPr>
              <w:t>4</w:t>
            </w:r>
          </w:p>
        </w:tc>
      </w:tr>
      <w:tr>
        <w:tc>
          <w:tcPr>
            <w:tcW w:type="dxa" w:w="1728"/>
          </w:tcPr>
          <w:p>
            <w:r>
              <w:t>Communication écrite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Communication orale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Travail en équipe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Autonomie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Sens de l’organisation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Maîtrise technique du poste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Gestion du temps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  <w:tr>
        <w:tc>
          <w:tcPr>
            <w:tcW w:type="dxa" w:w="1728"/>
          </w:tcPr>
          <w:p>
            <w:r>
              <w:t>Résolution de problèmes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  <w:tc>
          <w:tcPr>
            <w:tcW w:type="dxa" w:w="1728"/>
          </w:tcPr>
          <w:p>
            <w:r>
              <w:t>☐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