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📘 Manuel de Procédures Internes – Fiche de Caisse et Comptabilité</w:t>
      </w:r>
    </w:p>
    <w:p>
      <w:pPr>
        <w:pStyle w:val="Heading1"/>
      </w:pPr>
      <w:r>
        <w:rPr>
          <w:color w:val="2F75B5"/>
        </w:rPr>
        <w:t>1. Objectif</w:t>
      </w:r>
    </w:p>
    <w:p>
      <w:r>
        <w:t>Ce manuel a pour but d'établir une procédure claire et structurée pour l'utilisation de la fiche de caisse dans le cadre de la comptabilité interne, conformément aux exigences légales suisses.</w:t>
      </w:r>
    </w:p>
    <w:p>
      <w:pPr>
        <w:pStyle w:val="Heading1"/>
      </w:pPr>
      <w:r>
        <w:rPr>
          <w:color w:val="2F75B5"/>
        </w:rPr>
        <w:t>2. Portée</w:t>
      </w:r>
    </w:p>
    <w:p>
      <w:r>
        <w:t>Cette procédure s'applique à toute personne manipulant des espèces ou enregistrant des opérations de caisse au sein de l’entreprise.</w:t>
      </w:r>
    </w:p>
    <w:p>
      <w:pPr>
        <w:pStyle w:val="Heading1"/>
      </w:pPr>
      <w:r>
        <w:rPr>
          <w:color w:val="2F75B5"/>
        </w:rPr>
        <w:t>3. Outil Utilisé</w:t>
      </w:r>
    </w:p>
    <w:p>
      <w:r>
        <w:t>La fiche de caisse est un tableau (Excel ou papier) listant quotidiennement toutes les entrées et sorties d’argent liquide, avec calcul automatique du solde.</w:t>
      </w:r>
    </w:p>
    <w:p>
      <w:pPr>
        <w:pStyle w:val="Heading1"/>
      </w:pPr>
      <w:r>
        <w:rPr>
          <w:color w:val="2F75B5"/>
        </w:rPr>
        <w:t>4. Procédure Journalière</w:t>
      </w:r>
    </w:p>
    <w:p>
      <w:pPr>
        <w:pStyle w:val="ListBullet"/>
      </w:pPr>
      <w:r>
        <w:rPr>
          <w:color w:val="000000"/>
        </w:rPr>
        <w:t>Ouvrir la fiche de caisse du jour (format numérique ou papier).</w:t>
      </w:r>
    </w:p>
    <w:p>
      <w:pPr>
        <w:pStyle w:val="ListBullet"/>
      </w:pPr>
      <w:r>
        <w:rPr>
          <w:color w:val="000000"/>
        </w:rPr>
        <w:t>Saisir le solde d’ouverture.</w:t>
      </w:r>
    </w:p>
    <w:p>
      <w:pPr>
        <w:pStyle w:val="ListBullet"/>
      </w:pPr>
      <w:r>
        <w:rPr>
          <w:color w:val="000000"/>
        </w:rPr>
        <w:t>Enregistrer chaque entrée et sortie en précisant : date, motif, montant, moyen de paiement, et nom du responsable.</w:t>
      </w:r>
    </w:p>
    <w:p>
      <w:pPr>
        <w:pStyle w:val="ListBullet"/>
      </w:pPr>
      <w:r>
        <w:rPr>
          <w:color w:val="000000"/>
        </w:rPr>
        <w:t>Ajuster le solde cumulatif à chaque mouvement.</w:t>
      </w:r>
    </w:p>
    <w:p>
      <w:pPr>
        <w:pStyle w:val="ListBullet"/>
      </w:pPr>
      <w:r>
        <w:rPr>
          <w:color w:val="000000"/>
        </w:rPr>
        <w:t>Archiver les justificatifs liés (factures, tickets).</w:t>
      </w:r>
    </w:p>
    <w:p>
      <w:pPr>
        <w:pStyle w:val="Heading1"/>
      </w:pPr>
      <w:r>
        <w:rPr>
          <w:color w:val="2F75B5"/>
        </w:rPr>
        <w:t>5. Contrôle Hebdomadaire</w:t>
      </w:r>
    </w:p>
    <w:p>
      <w:r>
        <w:t>Le responsable comptable effectue un rapprochement entre le solde de la fiche de caisse et le contenu physique de la caisse. Les écarts doivent être justifiés par des pièces ou commentaires.</w:t>
      </w:r>
    </w:p>
    <w:p>
      <w:pPr>
        <w:pStyle w:val="Heading1"/>
      </w:pPr>
      <w:r>
        <w:rPr>
          <w:color w:val="2F75B5"/>
        </w:rPr>
        <w:t>6. Archivage</w:t>
      </w:r>
    </w:p>
    <w:p>
      <w:r>
        <w:t>Toutes les fiches doivent être conservées pendant 10 ans (papier ou format PDF), conformément au Code des obligations suisse.</w:t>
      </w:r>
    </w:p>
    <w:p>
      <w:pPr>
        <w:pStyle w:val="Heading1"/>
      </w:pPr>
      <w:r>
        <w:rPr>
          <w:color w:val="2F75B5"/>
        </w:rPr>
        <w:t>7. Étude de Cas – Café du Bourg</w:t>
      </w:r>
    </w:p>
    <w:p>
      <w:r>
        <w:t>Une entreprise a fait l’objet d’un redressement de CHF 3’500 en raison de l’absence de fiche de caisse. L’audit a révélé un manque de traçabilité des flux en espèces, des erreurs de déclaration TVA et une perte de TVA déductible.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