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 FICHE MÉTHODE – Réussir l’Onboarding des Nouveaux Talents</w:t>
      </w:r>
    </w:p>
    <w:p>
      <w:r>
        <w:t>Cette fiche méthode fournit une structure claire et des outils pratiques pour concevoir, piloter et réussir le parcours d'intégration des nouveaux collaborateurs. L’objectif est de garantir une expérience d’accueil fluide, engageante et structurée.</w:t>
      </w:r>
    </w:p>
    <w:p>
      <w:pPr>
        <w:pStyle w:val="Heading2"/>
      </w:pPr>
      <w:r>
        <w:t>🎯 Objectifs de la méthode</w:t>
      </w:r>
    </w:p>
    <w:p>
      <w:r>
        <w:t>✔ Structurer le processus d’intégration dès le pré-onboarding.</w:t>
        <w:br/>
      </w:r>
      <w:r>
        <w:t>✔ Créer une expérience engageante et humaine dès le premier jour.</w:t>
        <w:br/>
      </w:r>
      <w:r>
        <w:t>✔ Accompagner la montée en compétence et renforcer la fidélisation.</w:t>
      </w:r>
    </w:p>
    <w:p>
      <w:pPr>
        <w:pStyle w:val="Heading2"/>
      </w:pPr>
      <w:r>
        <w:t>🧭 Étapes du parcours d’intégration</w:t>
      </w:r>
    </w:p>
    <w:tbl>
      <w:tblPr>
        <w:tblStyle w:val="TableGrid"/>
        <w:tblW w:type="auto" w:w="0"/>
        <w:tblLook w:firstColumn="1" w:firstRow="1" w:lastColumn="0" w:lastRow="0" w:noHBand="0" w:noVBand="1" w:val="04A0"/>
      </w:tblPr>
      <w:tblGrid>
        <w:gridCol w:w="2880"/>
        <w:gridCol w:w="2880"/>
        <w:gridCol w:w="2880"/>
      </w:tblGrid>
      <w:tr>
        <w:tc>
          <w:tcPr>
            <w:tcW w:type="dxa" w:w="2880"/>
          </w:tcPr>
          <w:p>
            <w:r>
              <w:t>Étape</w:t>
            </w:r>
          </w:p>
        </w:tc>
        <w:tc>
          <w:tcPr>
            <w:tcW w:type="dxa" w:w="2880"/>
          </w:tcPr>
          <w:p>
            <w:r>
              <w:t>Objectifs</w:t>
            </w:r>
          </w:p>
        </w:tc>
        <w:tc>
          <w:tcPr>
            <w:tcW w:type="dxa" w:w="2880"/>
          </w:tcPr>
          <w:p>
            <w:r>
              <w:t>Actions à mener</w:t>
            </w:r>
          </w:p>
        </w:tc>
      </w:tr>
      <w:tr>
        <w:tc>
          <w:tcPr>
            <w:tcW w:type="dxa" w:w="2880"/>
          </w:tcPr>
          <w:p>
            <w:r>
              <w:t>Pré-onboarding</w:t>
            </w:r>
          </w:p>
        </w:tc>
        <w:tc>
          <w:tcPr>
            <w:tcW w:type="dxa" w:w="2880"/>
          </w:tcPr>
          <w:p>
            <w:r>
              <w:t>Préparer l’arrivée du collaborateur</w:t>
            </w:r>
          </w:p>
        </w:tc>
        <w:tc>
          <w:tcPr>
            <w:tcW w:type="dxa" w:w="2880"/>
          </w:tcPr>
          <w:p>
            <w:r>
              <w:t>Envoyer documents, créer accès, communiquer</w:t>
            </w:r>
          </w:p>
        </w:tc>
      </w:tr>
      <w:tr>
        <w:tc>
          <w:tcPr>
            <w:tcW w:type="dxa" w:w="2880"/>
          </w:tcPr>
          <w:p>
            <w:r>
              <w:t>Jour J</w:t>
            </w:r>
          </w:p>
        </w:tc>
        <w:tc>
          <w:tcPr>
            <w:tcW w:type="dxa" w:w="2880"/>
          </w:tcPr>
          <w:p>
            <w:r>
              <w:t>Créer une première impression positive</w:t>
            </w:r>
          </w:p>
        </w:tc>
        <w:tc>
          <w:tcPr>
            <w:tcW w:type="dxa" w:w="2880"/>
          </w:tcPr>
          <w:p>
            <w:r>
              <w:t>Accueil physique/virtuel, présentation équipe</w:t>
            </w:r>
          </w:p>
        </w:tc>
      </w:tr>
      <w:tr>
        <w:tc>
          <w:tcPr>
            <w:tcW w:type="dxa" w:w="2880"/>
          </w:tcPr>
          <w:p>
            <w:r>
              <w:t>Semaine 1</w:t>
            </w:r>
          </w:p>
        </w:tc>
        <w:tc>
          <w:tcPr>
            <w:tcW w:type="dxa" w:w="2880"/>
          </w:tcPr>
          <w:p>
            <w:r>
              <w:t>Favoriser l'intégration opérationnelle</w:t>
            </w:r>
          </w:p>
        </w:tc>
        <w:tc>
          <w:tcPr>
            <w:tcW w:type="dxa" w:w="2880"/>
          </w:tcPr>
          <w:p>
            <w:r>
              <w:t>Formations outils, immersion dans les projets</w:t>
            </w:r>
          </w:p>
        </w:tc>
      </w:tr>
      <w:tr>
        <w:tc>
          <w:tcPr>
            <w:tcW w:type="dxa" w:w="2880"/>
          </w:tcPr>
          <w:p>
            <w:r>
              <w:t>Mois 1</w:t>
            </w:r>
          </w:p>
        </w:tc>
        <w:tc>
          <w:tcPr>
            <w:tcW w:type="dxa" w:w="2880"/>
          </w:tcPr>
          <w:p>
            <w:r>
              <w:t>Mesurer l’engagement et ajuster</w:t>
            </w:r>
          </w:p>
        </w:tc>
        <w:tc>
          <w:tcPr>
            <w:tcW w:type="dxa" w:w="2880"/>
          </w:tcPr>
          <w:p>
            <w:r>
              <w:t>Suivi managérial, recueil de feedback</w:t>
            </w:r>
          </w:p>
        </w:tc>
      </w:tr>
      <w:tr>
        <w:tc>
          <w:tcPr>
            <w:tcW w:type="dxa" w:w="2880"/>
          </w:tcPr>
          <w:p>
            <w:r>
              <w:t>Trimestre 1</w:t>
            </w:r>
          </w:p>
        </w:tc>
        <w:tc>
          <w:tcPr>
            <w:tcW w:type="dxa" w:w="2880"/>
          </w:tcPr>
          <w:p>
            <w:r>
              <w:t>Confirmer l’adhésion et projeter</w:t>
            </w:r>
          </w:p>
        </w:tc>
        <w:tc>
          <w:tcPr>
            <w:tcW w:type="dxa" w:w="2880"/>
          </w:tcPr>
          <w:p>
            <w:r>
              <w:t>Bilan d’intégration, objectifs à long terme</w:t>
            </w:r>
          </w:p>
        </w:tc>
      </w:tr>
    </w:tbl>
    <w:p>
      <w:pPr>
        <w:pStyle w:val="Heading2"/>
      </w:pPr>
      <w:r>
        <w:t>📊 Suivi &amp; Indicateurs</w:t>
      </w:r>
    </w:p>
    <w:tbl>
      <w:tblPr>
        <w:tblStyle w:val="TableGrid"/>
        <w:tblW w:type="auto" w:w="0"/>
        <w:tblLook w:firstColumn="1" w:firstRow="1" w:lastColumn="0" w:lastRow="0" w:noHBand="0" w:noVBand="1" w:val="04A0"/>
      </w:tblPr>
      <w:tblGrid>
        <w:gridCol w:w="4320"/>
        <w:gridCol w:w="4320"/>
      </w:tblGrid>
      <w:tr>
        <w:tc>
          <w:tcPr>
            <w:tcW w:type="dxa" w:w="4320"/>
          </w:tcPr>
          <w:p>
            <w:r>
              <w:t>Indicateur</w:t>
            </w:r>
          </w:p>
        </w:tc>
        <w:tc>
          <w:tcPr>
            <w:tcW w:type="dxa" w:w="4320"/>
          </w:tcPr>
          <w:p>
            <w:r>
              <w:t>Description</w:t>
            </w:r>
          </w:p>
        </w:tc>
      </w:tr>
      <w:tr>
        <w:tc>
          <w:tcPr>
            <w:tcW w:type="dxa" w:w="4320"/>
          </w:tcPr>
          <w:p>
            <w:r>
              <w:t>Taux de complétion du parcours</w:t>
            </w:r>
          </w:p>
        </w:tc>
        <w:tc>
          <w:tcPr>
            <w:tcW w:type="dxa" w:w="4320"/>
          </w:tcPr>
          <w:p>
            <w:r>
              <w:t>Part des étapes validées par le collaborateur</w:t>
            </w:r>
          </w:p>
        </w:tc>
      </w:tr>
      <w:tr>
        <w:tc>
          <w:tcPr>
            <w:tcW w:type="dxa" w:w="4320"/>
          </w:tcPr>
          <w:p>
            <w:r>
              <w:t>Feedback d’intégration</w:t>
            </w:r>
          </w:p>
        </w:tc>
        <w:tc>
          <w:tcPr>
            <w:tcW w:type="dxa" w:w="4320"/>
          </w:tcPr>
          <w:p>
            <w:r>
              <w:t>Score de satisfaction recueilli à 1 mois</w:t>
            </w:r>
          </w:p>
        </w:tc>
      </w:tr>
      <w:tr>
        <w:tc>
          <w:tcPr>
            <w:tcW w:type="dxa" w:w="4320"/>
          </w:tcPr>
          <w:p>
            <w:r>
              <w:t>Temps de montée en compétence</w:t>
            </w:r>
          </w:p>
        </w:tc>
        <w:tc>
          <w:tcPr>
            <w:tcW w:type="dxa" w:w="4320"/>
          </w:tcPr>
          <w:p>
            <w:r>
              <w:t>Délai pour atteindre l’autonomie opérationnelle</w:t>
            </w:r>
          </w:p>
        </w:tc>
      </w:tr>
      <w:tr>
        <w:tc>
          <w:tcPr>
            <w:tcW w:type="dxa" w:w="4320"/>
          </w:tcPr>
          <w:p>
            <w:r>
              <w:t>Taux de rétention à 6 mois</w:t>
            </w:r>
          </w:p>
        </w:tc>
        <w:tc>
          <w:tcPr>
            <w:tcW w:type="dxa" w:w="4320"/>
          </w:tcPr>
          <w:p>
            <w:r>
              <w:t>Pourcentage de nouveaux restés dans l’entreprise</w:t>
            </w:r>
          </w:p>
        </w:tc>
      </w:tr>
    </w:tbl>
    <w:p>
      <w:pPr>
        <w:pStyle w:val="Heading2"/>
      </w:pPr>
      <w:r>
        <w:t>💡 Bonnes pratiques RH</w:t>
      </w:r>
    </w:p>
    <w:p>
      <w:r>
        <w:t>🔹 Personnaliser les parcours selon les profils (junior, senior, alternant, cadre).</w:t>
      </w:r>
    </w:p>
    <w:p>
      <w:r>
        <w:t>🔹 Inclure l’équipe dans le processus d’accueil.</w:t>
      </w:r>
    </w:p>
    <w:p>
      <w:r>
        <w:t>🔹 Proposer un livret d’onboarding et un référent de suivi.</w:t>
      </w:r>
    </w:p>
    <w:p>
      <w:r>
        <w:t>🔹 Évaluer et ajuster les parcours régulièrement.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