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Canevas de Cas Pratique – Droit Administratif</w:t>
      </w:r>
    </w:p>
    <w:p>
      <w:r>
        <w:rPr>
          <w:b/>
        </w:rPr>
        <w:t>1. Titre du cas pratique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>2. Faits de l’espèce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>3. Identification des parties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 xml:space="preserve">   - Partie 1 :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 xml:space="preserve">   - Partie 2 :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>4. Problèmes juridiques à résoudre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 xml:space="preserve">   - Problème 1 :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 xml:space="preserve">   - Problème 2 :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>5. Règles de droit applicables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 xml:space="preserve">   - Texte(s) législatif(s) :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 xml:space="preserve">   - Jurisprudence(s) :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 xml:space="preserve">   - Principe(s) général(aux) :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>6. Application au cas concret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>7. Conclusion juridique</w:t>
      </w:r>
      <w:r>
        <w:br/>
        <w:br/>
        <w:t>____________________________________________________________________________________________________</w:t>
        <w:br/>
        <w:br/>
      </w:r>
    </w:p>
    <w:p>
      <w:r>
        <w:rPr>
          <w:b/>
        </w:rPr>
        <w:t>8. Remarques complémentaires (facultatif)</w:t>
      </w:r>
      <w:r>
        <w:br/>
        <w:br/>
        <w:t>____________________________________________________________________________________________________</w:t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