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Canevas Avancé de Veille Technologique</w:t>
      </w:r>
    </w:p>
    <w:p>
      <w:r>
        <w:t>Ce canevas structuré permet de planifier, suivre et exploiter une veille technologique de manière collaborative et stratégique.</w:t>
      </w:r>
    </w:p>
    <w:p>
      <w:pPr>
        <w:pStyle w:val="Heading1"/>
      </w:pPr>
      <w:r>
        <w:t>1. Objectifs de la veille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val="clear" w:color="auto" w:fill="D9EAD3"/>
          </w:tcPr>
          <w:p>
            <w:r>
              <w:t>Objectif stratégique</w:t>
            </w:r>
          </w:p>
        </w:tc>
        <w:tc>
          <w:tcPr>
            <w:tcW w:type="dxa" w:w="2880"/>
            <w:shd w:val="clear" w:color="auto" w:fill="FCE5CD"/>
          </w:tcPr>
          <w:p>
            <w:r>
              <w:t>Niveau d'urgence</w:t>
            </w:r>
          </w:p>
        </w:tc>
        <w:tc>
          <w:tcPr>
            <w:tcW w:type="dxa" w:w="2880"/>
            <w:shd w:val="clear" w:color="auto" w:fill="C9DAF8"/>
          </w:tcPr>
          <w:p>
            <w:r>
              <w:t>Indicateur de résultat</w:t>
            </w:r>
          </w:p>
        </w:tc>
      </w:tr>
    </w:tbl>
    <w:p>
      <w:pPr>
        <w:pStyle w:val="Heading1"/>
      </w:pPr>
      <w:r>
        <w:t>2. Cartographie des 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D9EAD3"/>
          </w:tcPr>
          <w:p>
            <w:r>
              <w:t>Nom de la source</w:t>
            </w:r>
          </w:p>
        </w:tc>
        <w:tc>
          <w:tcPr>
            <w:tcW w:type="dxa" w:w="1728"/>
            <w:shd w:val="clear" w:color="auto" w:fill="F4CCCC"/>
          </w:tcPr>
          <w:p>
            <w:r>
              <w:t>Type (site, réseau, etc.)</w:t>
            </w:r>
          </w:p>
        </w:tc>
        <w:tc>
          <w:tcPr>
            <w:tcW w:type="dxa" w:w="1728"/>
            <w:shd w:val="clear" w:color="auto" w:fill="CFE2F3"/>
          </w:tcPr>
          <w:p>
            <w:r>
              <w:t>URL ou lien</w:t>
            </w:r>
          </w:p>
        </w:tc>
        <w:tc>
          <w:tcPr>
            <w:tcW w:type="dxa" w:w="1728"/>
            <w:shd w:val="clear" w:color="auto" w:fill="FFF2CC"/>
          </w:tcPr>
          <w:p>
            <w:r>
              <w:t>Pertinence</w:t>
            </w:r>
          </w:p>
        </w:tc>
        <w:tc>
          <w:tcPr>
            <w:tcW w:type="dxa" w:w="1728"/>
            <w:shd w:val="clear" w:color="auto" w:fill="EAD1DC"/>
          </w:tcPr>
          <w:p>
            <w:r>
              <w:t>Fréquence de consultation</w:t>
            </w:r>
          </w:p>
        </w:tc>
      </w:tr>
    </w:tbl>
    <w:p>
      <w:pPr>
        <w:pStyle w:val="Heading1"/>
      </w:pPr>
      <w:r>
        <w:t>3. Axes de veille et mots-clés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C9DAF8"/>
          </w:tcPr>
          <w:p>
            <w:r>
              <w:t>Thématique</w:t>
            </w:r>
          </w:p>
        </w:tc>
        <w:tc>
          <w:tcPr>
            <w:tcW w:type="dxa" w:w="2160"/>
            <w:shd w:val="clear" w:color="auto" w:fill="D9D2E9"/>
          </w:tcPr>
          <w:p>
            <w:r>
              <w:t>Mot-clé</w:t>
            </w:r>
          </w:p>
        </w:tc>
        <w:tc>
          <w:tcPr>
            <w:tcW w:type="dxa" w:w="2160"/>
            <w:shd w:val="clear" w:color="auto" w:fill="FCE5CD"/>
          </w:tcPr>
          <w:p>
            <w:r>
              <w:t>Niveau de priorité</w:t>
            </w:r>
          </w:p>
        </w:tc>
        <w:tc>
          <w:tcPr>
            <w:tcW w:type="dxa" w:w="2160"/>
            <w:shd w:val="clear" w:color="auto" w:fill="D9EAD3"/>
          </w:tcPr>
          <w:p>
            <w:r>
              <w:t>Responsable de suivi</w:t>
            </w:r>
          </w:p>
        </w:tc>
      </w:tr>
    </w:tbl>
    <w:p>
      <w:pPr>
        <w:pStyle w:val="Heading1"/>
      </w:pPr>
      <w:r>
        <w:t>4. Fiches d’observation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FFE599"/>
          </w:tcPr>
          <w:p>
            <w:r>
              <w:t>Date</w:t>
            </w:r>
          </w:p>
        </w:tc>
        <w:tc>
          <w:tcPr>
            <w:tcW w:type="dxa" w:w="1440"/>
            <w:shd w:val="clear" w:color="auto" w:fill="F9CB9C"/>
          </w:tcPr>
          <w:p>
            <w:r>
              <w:t>Sujet / Titre</w:t>
            </w:r>
          </w:p>
        </w:tc>
        <w:tc>
          <w:tcPr>
            <w:tcW w:type="dxa" w:w="1440"/>
            <w:shd w:val="clear" w:color="auto" w:fill="D0E0E3"/>
          </w:tcPr>
          <w:p>
            <w:r>
              <w:t>Type d'innovation</w:t>
            </w:r>
          </w:p>
        </w:tc>
        <w:tc>
          <w:tcPr>
            <w:tcW w:type="dxa" w:w="1440"/>
            <w:shd w:val="clear" w:color="auto" w:fill="D9D2E9"/>
          </w:tcPr>
          <w:p>
            <w:r>
              <w:t>Résumé</w:t>
            </w:r>
          </w:p>
        </w:tc>
        <w:tc>
          <w:tcPr>
            <w:tcW w:type="dxa" w:w="1440"/>
            <w:shd w:val="clear" w:color="auto" w:fill="C9DAF8"/>
          </w:tcPr>
          <w:p>
            <w:r>
              <w:t>Impact potentiel</w:t>
            </w:r>
          </w:p>
        </w:tc>
        <w:tc>
          <w:tcPr>
            <w:tcW w:type="dxa" w:w="1440"/>
            <w:shd w:val="clear" w:color="auto" w:fill="FCE5CD"/>
          </w:tcPr>
          <w:p>
            <w:r>
              <w:t>Lien source</w:t>
            </w:r>
          </w:p>
        </w:tc>
      </w:tr>
    </w:tbl>
    <w:p>
      <w:pPr>
        <w:pStyle w:val="Heading1"/>
      </w:pPr>
      <w:r>
        <w:t>5. Synthèse périodique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D9EAD3"/>
          </w:tcPr>
          <w:p>
            <w:r>
              <w:t>Période</w:t>
            </w:r>
          </w:p>
        </w:tc>
        <w:tc>
          <w:tcPr>
            <w:tcW w:type="dxa" w:w="2160"/>
            <w:shd w:val="clear" w:color="auto" w:fill="D9D2E9"/>
          </w:tcPr>
          <w:p>
            <w:r>
              <w:t>Tendances majeures</w:t>
            </w:r>
          </w:p>
        </w:tc>
        <w:tc>
          <w:tcPr>
            <w:tcW w:type="dxa" w:w="2160"/>
            <w:shd w:val="clear" w:color="auto" w:fill="CFE2F3"/>
          </w:tcPr>
          <w:p>
            <w:r>
              <w:t>Opportunités détectées</w:t>
            </w:r>
          </w:p>
        </w:tc>
        <w:tc>
          <w:tcPr>
            <w:tcW w:type="dxa" w:w="2160"/>
            <w:shd w:val="clear" w:color="auto" w:fill="F4CCCC"/>
          </w:tcPr>
          <w:p>
            <w:r>
              <w:t>Risques ou freins</w:t>
            </w:r>
          </w:p>
        </w:tc>
      </w:tr>
    </w:tbl>
    <w:p>
      <w:pPr>
        <w:pStyle w:val="Heading1"/>
      </w:pPr>
      <w:r>
        <w:t>6. Recommandations et pistes d’action</w:t>
      </w:r>
    </w:p>
    <w:p>
      <w:r>
        <w:br/>
        <w:br/>
        <w:br/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