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B57D0"/>
          <w:sz w:val="56"/>
        </w:rPr>
        <w:t>RÈGLEMENT INTÉRIEUR</w:t>
        <w:br/>
      </w:r>
      <w:r>
        <w:rPr>
          <w:rFonts w:ascii="Calibri" w:hAnsi="Calibri"/>
          <w:b/>
          <w:sz w:val="32"/>
        </w:rPr>
        <w:t>Association : [NOM DE L’ASSOCIATION]</w:t>
        <w:br/>
      </w:r>
      <w:r>
        <w:rPr>
          <w:rFonts w:ascii="Calibri" w:hAnsi="Calibri"/>
          <w:b w:val="0"/>
          <w:sz w:val="24"/>
        </w:rPr>
        <w:br/>
        <w:t>Document opérationnel – version [v1.0]</w:t>
        <w:br/>
      </w:r>
      <w:r>
        <w:rPr>
          <w:rFonts w:ascii="Calibri" w:hAnsi="Calibri"/>
          <w:b w:val="0"/>
          <w:sz w:val="22"/>
        </w:rPr>
        <w:t>Adopté par : [Assemblée générale / Conseil d’administration] – le [JJ/MM/AAAA]</w:t>
        <w:br/>
      </w:r>
      <w:r>
        <w:rPr>
          <w:rFonts w:ascii="Calibri" w:hAnsi="Calibri"/>
          <w:b w:val="0"/>
          <w:sz w:val="22"/>
        </w:rPr>
        <w:t>Siège : [Adresse] • Email : [contact@association] • Tél : [ ]</w:t>
        <w:br/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F7F7FA"/>
            <w:vAlign w:val="center"/>
          </w:tcPr>
          <w:p>
            <w:pPr>
              <w:jc w:val="left"/>
            </w:pPr>
            <w:r>
              <w:rPr>
                <w:rFonts w:ascii="Calibri" w:hAnsi="Calibri"/>
                <w:b/>
                <w:sz w:val="24"/>
              </w:rPr>
              <w:t>À quoi sert ce document ?</w:t>
              <w:br/>
            </w:r>
            <w:r>
              <w:rPr>
                <w:rFonts w:ascii="Calibri" w:hAnsi="Calibri"/>
                <w:b w:val="0"/>
                <w:sz w:val="22"/>
              </w:rPr>
              <w:t>Ce règlement intérieur complète les statuts. Il traduit les règles de fonctionnement en consignes claires, utilisables au quotidien (adhésions, réunions, finances, sécurité, discipline, outils, communication). Il est conçu pour être mis à jour facilement sans refaire les statuts.</w:t>
            </w:r>
          </w:p>
        </w:tc>
      </w:tr>
    </w:tbl>
    <w:p>
      <w:r>
        <w:br w:type="page"/>
      </w:r>
    </w:p>
    <w:p>
      <w:pPr>
        <w:pStyle w:val="Heading1"/>
      </w:pPr>
      <w:r>
        <w:t>Sommaire</w:t>
      </w:r>
    </w:p>
    <w:p>
      <w:r>
        <w:rPr>
          <w:i/>
        </w:rPr>
        <w:t>Mise à jour automatique : clic droit sur le sommaire &gt; Mettre à jour le champ.</w:t>
        <w:br/>
      </w:r>
      <w:fldSimple w:instr="TOC \o &quot;1-3&quot; \h \z \u"/>
    </w:p>
    <w:p>
      <w:r>
        <w:br w:type="page"/>
      </w:r>
    </w:p>
    <w:p>
      <w:pPr>
        <w:pStyle w:val="Heading1"/>
      </w:pPr>
      <w:r>
        <w:t>1. Objet, portée et principes</w:t>
      </w:r>
    </w:p>
    <w:p>
      <w:pPr>
        <w:spacing w:after="120"/>
      </w:pPr>
      <w:r>
        <w:t>Le présent règlement intérieur (RI) précise les modalités pratiques d’application des statuts de l’association [Nom]. Il s’impose à tous les membres, bénévoles, dirigeants et, le cas échéant, salariés, dès son adoption.</w:t>
      </w:r>
    </w:p>
    <w:p>
      <w:pPr>
        <w:pStyle w:val="Heading2"/>
      </w:pPr>
      <w:r>
        <w:t>1.1 Champ d’application</w:t>
      </w:r>
    </w:p>
    <w:p>
      <w:pPr>
        <w:pStyle w:val="ListBullet"/>
        <w:spacing w:after="40"/>
      </w:pPr>
      <w:r>
        <w:t>Le RI s’applique à l’ensemble des activités, réunions, événements et espaces (locaux, plateformes numériques, groupes de messagerie).</w:t>
      </w:r>
    </w:p>
    <w:p>
      <w:pPr>
        <w:pStyle w:val="ListBullet"/>
        <w:spacing w:after="40"/>
      </w:pPr>
      <w:r>
        <w:t>En cas de contradiction entre statuts et RI, les statuts prévalent.</w:t>
      </w:r>
    </w:p>
    <w:p>
      <w:pPr>
        <w:pStyle w:val="ListBullet"/>
        <w:spacing w:after="40"/>
      </w:pPr>
      <w:r>
        <w:t>Le RI est diffusé à chaque nouvel adhérent et accessible en permanence (papier ou numérique).</w:t>
      </w:r>
    </w:p>
    <w:p>
      <w:pPr>
        <w:pStyle w:val="Heading2"/>
      </w:pPr>
      <w:r>
        <w:t>1.2 Valeurs et comportement attendu</w:t>
      </w:r>
    </w:p>
    <w:p>
      <w:pPr>
        <w:spacing w:after="120"/>
      </w:pPr>
      <w:r>
        <w:t>L’association promeut : respect, neutralité, sécurité, transparence, inclusion et esprit de coopération. Tout comportement contraire à ces principes peut entraîner une procédure disciplinaire.</w:t>
      </w:r>
    </w:p>
    <w:p>
      <w:pPr>
        <w:pStyle w:val="ListBullet"/>
        <w:spacing w:after="40"/>
      </w:pPr>
      <w:r>
        <w:t>Respect des personnes (zéro harcèlement, zéro discrimination).</w:t>
      </w:r>
    </w:p>
    <w:p>
      <w:pPr>
        <w:pStyle w:val="ListBullet"/>
        <w:spacing w:after="40"/>
      </w:pPr>
      <w:r>
        <w:t>Sécurité des publics (mineurs / publics vulnérables) : vigilance et signalement.</w:t>
      </w:r>
    </w:p>
    <w:p>
      <w:pPr>
        <w:pStyle w:val="ListBullet"/>
        <w:spacing w:after="40"/>
      </w:pPr>
      <w:r>
        <w:t>Utilisation responsable des ressources (locaux, matériels, fonds).</w:t>
      </w:r>
    </w:p>
    <w:p>
      <w:pPr>
        <w:pStyle w:val="ListBullet"/>
        <w:spacing w:after="40"/>
      </w:pPr>
      <w:r>
        <w:t>Confidentialité : protection des informations internes.</w:t>
      </w:r>
    </w:p>
    <w:p>
      <w:pPr>
        <w:pStyle w:val="Heading1"/>
      </w:pPr>
      <w:r>
        <w:t>2. Membres : adhésion, droits, devoirs</w:t>
      </w:r>
    </w:p>
    <w:p>
      <w:pPr>
        <w:pStyle w:val="Heading2"/>
      </w:pPr>
      <w:r>
        <w:t>2.1 Catégories de membres (à adapter)</w:t>
      </w:r>
    </w:p>
    <w:p>
      <w:pPr>
        <w:pStyle w:val="ListBullet"/>
        <w:spacing w:after="40"/>
      </w:pPr>
      <w:r>
        <w:t>Membres adhérents : cotisation à jour, participation aux activités.</w:t>
      </w:r>
    </w:p>
    <w:p>
      <w:pPr>
        <w:pStyle w:val="ListBullet"/>
        <w:spacing w:after="40"/>
      </w:pPr>
      <w:r>
        <w:t>Membres bienfaiteurs : soutien financier ou matériel.</w:t>
      </w:r>
    </w:p>
    <w:p>
      <w:pPr>
        <w:pStyle w:val="ListBullet"/>
        <w:spacing w:after="40"/>
      </w:pPr>
      <w:r>
        <w:t>Membres d’honneur : distinction, conditions fixées par les statuts.</w:t>
      </w:r>
    </w:p>
    <w:p>
      <w:pPr>
        <w:pStyle w:val="Heading2"/>
      </w:pPr>
      <w:r>
        <w:t>2.2 Admission</w:t>
      </w:r>
    </w:p>
    <w:p>
      <w:pPr>
        <w:pStyle w:val="ListNumber"/>
        <w:spacing w:after="40"/>
      </w:pPr>
      <w:r>
        <w:t>Remplir la fiche d’adhésion (Annexe A).</w:t>
      </w:r>
    </w:p>
    <w:p>
      <w:pPr>
        <w:pStyle w:val="ListNumber"/>
        <w:spacing w:after="40"/>
      </w:pPr>
      <w:r>
        <w:t>Accepter les statuts, le RI et, si applicable, la charte de protection des publics.</w:t>
      </w:r>
    </w:p>
    <w:p>
      <w:pPr>
        <w:pStyle w:val="ListNumber"/>
        <w:spacing w:after="40"/>
      </w:pPr>
      <w:r>
        <w:t>Régler la cotisation annuelle (modalités ci-dessous).</w:t>
      </w:r>
    </w:p>
    <w:p>
      <w:pPr>
        <w:pStyle w:val="ListNumber"/>
        <w:spacing w:after="40"/>
      </w:pPr>
      <w:r>
        <w:t>Validation par : [Bureau / CA] dans un délai de [X] jours.</w:t>
      </w:r>
    </w:p>
    <w:p>
      <w:pPr>
        <w:pStyle w:val="Heading2"/>
      </w:pPr>
      <w:r>
        <w:t>2.3 Cotisation : règles simples et traçables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  <w:shd w:fill="EAF0FF"/>
          </w:tcPr>
          <w:p>
            <w:r>
              <w:t>Catégorie</w:t>
            </w:r>
          </w:p>
        </w:tc>
        <w:tc>
          <w:tcPr>
            <w:tcW w:type="dxa" w:w="3324"/>
            <w:shd w:fill="EAF0FF"/>
          </w:tcPr>
          <w:p>
            <w:r>
              <w:t>Montant</w:t>
            </w:r>
          </w:p>
        </w:tc>
        <w:tc>
          <w:tcPr>
            <w:tcW w:type="dxa" w:w="3324"/>
            <w:shd w:fill="EAF0FF"/>
          </w:tcPr>
          <w:p>
            <w:r>
              <w:t>Échéance / Modalité</w:t>
            </w:r>
          </w:p>
        </w:tc>
      </w:tr>
      <w:tr>
        <w:tc>
          <w:tcPr>
            <w:tcW w:type="dxa" w:w="3324"/>
          </w:tcPr>
          <w:p>
            <w:r>
              <w:t>Adhérent</w:t>
            </w:r>
          </w:p>
        </w:tc>
        <w:tc>
          <w:tcPr>
            <w:tcW w:type="dxa" w:w="3324"/>
          </w:tcPr>
          <w:p>
            <w:r>
              <w:t>[€]</w:t>
            </w:r>
          </w:p>
        </w:tc>
        <w:tc>
          <w:tcPr>
            <w:tcW w:type="dxa" w:w="3324"/>
          </w:tcPr>
          <w:p>
            <w:r>
              <w:t>Avant le [date] / virement / espèces contre reçu</w:t>
            </w:r>
          </w:p>
        </w:tc>
      </w:tr>
      <w:tr>
        <w:tc>
          <w:tcPr>
            <w:tcW w:type="dxa" w:w="3324"/>
          </w:tcPr>
          <w:p>
            <w:r>
              <w:t>Réduit (étudiant, chômage…)</w:t>
            </w:r>
          </w:p>
        </w:tc>
        <w:tc>
          <w:tcPr>
            <w:tcW w:type="dxa" w:w="3324"/>
          </w:tcPr>
          <w:p>
            <w:r>
              <w:t>[€]</w:t>
            </w:r>
          </w:p>
        </w:tc>
        <w:tc>
          <w:tcPr>
            <w:tcW w:type="dxa" w:w="3324"/>
          </w:tcPr>
          <w:p>
            <w:r>
              <w:t>Justificatif : [oui/non]</w:t>
            </w:r>
          </w:p>
        </w:tc>
      </w:tr>
      <w:tr>
        <w:tc>
          <w:tcPr>
            <w:tcW w:type="dxa" w:w="3324"/>
          </w:tcPr>
          <w:p>
            <w:r>
              <w:t>Bienfaiteur</w:t>
            </w:r>
          </w:p>
        </w:tc>
        <w:tc>
          <w:tcPr>
            <w:tcW w:type="dxa" w:w="3324"/>
          </w:tcPr>
          <w:p>
            <w:r>
              <w:t>[€]</w:t>
            </w:r>
          </w:p>
        </w:tc>
        <w:tc>
          <w:tcPr>
            <w:tcW w:type="dxa" w:w="3324"/>
          </w:tcPr>
          <w:p>
            <w:r>
              <w:t>Libre / annuel</w:t>
            </w:r>
          </w:p>
        </w:tc>
      </w:tr>
    </w:tbl>
    <w:p>
      <w:pPr>
        <w:spacing w:after="120"/>
      </w:pPr>
      <w:r>
        <w:t>Tout retard supérieur à [X] mois peut entraîner la suspension des droits de vote et l’accès à certains services, après relance formalisée.</w:t>
      </w:r>
    </w:p>
    <w:p>
      <w:pPr>
        <w:pStyle w:val="Heading2"/>
      </w:pPr>
      <w:r>
        <w:t>2.4 Droits et devoirs</w:t>
      </w:r>
    </w:p>
    <w:p>
      <w:pPr>
        <w:pStyle w:val="ListBullet"/>
        <w:spacing w:after="40"/>
      </w:pPr>
      <w:r>
        <w:t>Droits : information, participation, vote (si cotisation à jour), proposition d’actions.</w:t>
      </w:r>
    </w:p>
    <w:p>
      <w:pPr>
        <w:pStyle w:val="ListBullet"/>
        <w:spacing w:after="40"/>
      </w:pPr>
      <w:r>
        <w:t>Devoirs : respect des règles, contribution au bon fonctionnement, respect des décisions collectives.</w:t>
      </w:r>
    </w:p>
    <w:p>
      <w:pPr>
        <w:pStyle w:val="ListBullet"/>
        <w:spacing w:after="40"/>
      </w:pPr>
      <w:r>
        <w:t>Droit à l’image : consentement écrit pour toute diffusion de photos/vidéos (cf. section 7).</w:t>
      </w:r>
    </w:p>
    <w:p>
      <w:pPr>
        <w:pStyle w:val="Heading1"/>
      </w:pPr>
      <w:r>
        <w:t>3. Gouvernance : réunions, décisions, transparence</w:t>
      </w:r>
    </w:p>
    <w:p>
      <w:pPr>
        <w:pStyle w:val="Heading2"/>
      </w:pPr>
      <w:r>
        <w:t>3.1 Assemblées générales</w:t>
      </w:r>
    </w:p>
    <w:p>
      <w:pPr>
        <w:pStyle w:val="ListBullet"/>
        <w:spacing w:after="40"/>
      </w:pPr>
      <w:r>
        <w:t>Convocation : [email/affichage] au moins [X] jours avant, avec ordre du jour et documents utiles.</w:t>
      </w:r>
    </w:p>
    <w:p>
      <w:pPr>
        <w:pStyle w:val="ListBullet"/>
        <w:spacing w:after="40"/>
      </w:pPr>
      <w:r>
        <w:t>Quorum : [X]% des membres à jour de cotisation (sinon seconde convocation selon statuts).</w:t>
      </w:r>
    </w:p>
    <w:p>
      <w:pPr>
        <w:pStyle w:val="ListBullet"/>
        <w:spacing w:after="40"/>
      </w:pPr>
      <w:r>
        <w:t>Vote : main levée / bulletin secret si demandé par [X] membres.</w:t>
      </w:r>
    </w:p>
    <w:p>
      <w:pPr>
        <w:pStyle w:val="Heading2"/>
      </w:pPr>
      <w:r>
        <w:t>3.2 Conseil d’administration et bureau</w:t>
      </w:r>
    </w:p>
    <w:p>
      <w:pPr>
        <w:pStyle w:val="ListBullet"/>
        <w:spacing w:after="40"/>
      </w:pPr>
      <w:r>
        <w:t>Le CA fixe les orientations et valide les engagements importants.</w:t>
      </w:r>
    </w:p>
    <w:p>
      <w:pPr>
        <w:pStyle w:val="ListBullet"/>
        <w:spacing w:after="40"/>
      </w:pPr>
      <w:r>
        <w:t>Le bureau exécute, suit les actions, prépare les réunions et assure le pilotage opérationnel.</w:t>
      </w:r>
    </w:p>
    <w:p>
      <w:pPr>
        <w:pStyle w:val="ListBullet"/>
        <w:spacing w:after="40"/>
      </w:pPr>
      <w:r>
        <w:t>Procès-verbaux : rédigés, signés, archivés et diffusés selon les règles ci-dessous.</w:t>
      </w:r>
    </w:p>
    <w:p>
      <w:pPr>
        <w:pStyle w:val="Heading2"/>
      </w:pPr>
      <w:r>
        <w:t>3.3 Procès-verbaux et archivage</w:t>
      </w:r>
    </w:p>
    <w:p>
      <w:pPr>
        <w:spacing w:after="120"/>
      </w:pPr>
      <w:r>
        <w:t>Chaque réunion (AG, CA, bureau) fait l’objet d’un PV comprenant : date, participants, décisions, votes, actions, responsables, échéances.</w:t>
      </w:r>
    </w:p>
    <w:p>
      <w:pPr>
        <w:pStyle w:val="ListBullet"/>
        <w:spacing w:after="40"/>
      </w:pPr>
      <w:r>
        <w:t>Délai de rédaction : [X] jours.</w:t>
      </w:r>
    </w:p>
    <w:p>
      <w:pPr>
        <w:pStyle w:val="ListBullet"/>
        <w:spacing w:after="40"/>
      </w:pPr>
      <w:r>
        <w:t>Validation : [Président + Secrétaire] ou [Bureau].</w:t>
      </w:r>
    </w:p>
    <w:p>
      <w:pPr>
        <w:pStyle w:val="ListBullet"/>
        <w:spacing w:after="40"/>
      </w:pPr>
      <w:r>
        <w:t>Archivage : dossier numérique + classeur papier, avec versionnage (cf. section 11).</w:t>
      </w:r>
    </w:p>
    <w:p>
      <w:pPr>
        <w:pStyle w:val="Heading1"/>
      </w:pPr>
      <w:r>
        <w:t>4. Fonctionnement quotidien : ce qui évite les frictions</w:t>
      </w:r>
    </w:p>
    <w:p>
      <w:pPr>
        <w:pStyle w:val="Heading2"/>
      </w:pPr>
      <w:r>
        <w:t>4.1 Accès aux locaux, sécurité, matériel</w:t>
      </w:r>
    </w:p>
    <w:p>
      <w:pPr>
        <w:pStyle w:val="ListBullet"/>
        <w:spacing w:after="40"/>
      </w:pPr>
      <w:r>
        <w:t>Horaires / conditions d’accès : [à préciser].</w:t>
      </w:r>
    </w:p>
    <w:p>
      <w:pPr>
        <w:pStyle w:val="ListBullet"/>
        <w:spacing w:after="40"/>
      </w:pPr>
      <w:r>
        <w:t>Clés / badges : gestion nominative, restitution obligatoire.</w:t>
      </w:r>
    </w:p>
    <w:p>
      <w:pPr>
        <w:pStyle w:val="ListBullet"/>
        <w:spacing w:after="40"/>
      </w:pPr>
      <w:r>
        <w:t>Matériel : prêt sur registre (Annexe C). Toute casse doit être signalée immédiatement.</w:t>
      </w:r>
    </w:p>
    <w:p>
      <w:pPr>
        <w:pStyle w:val="Heading2"/>
      </w:pPr>
      <w:r>
        <w:t>4.2 Communication interne</w:t>
      </w:r>
    </w:p>
    <w:p>
      <w:pPr>
        <w:pStyle w:val="ListBullet"/>
        <w:spacing w:after="40"/>
      </w:pPr>
      <w:r>
        <w:t>Canaux officiels : email + [outil] (ex : WhatsApp/Slack) pour l’opérationnel.</w:t>
      </w:r>
    </w:p>
    <w:p>
      <w:pPr>
        <w:pStyle w:val="ListBullet"/>
        <w:spacing w:after="40"/>
      </w:pPr>
      <w:r>
        <w:t>Règles de base : pas de messages agressifs, pas de diffusion de données personnelles.</w:t>
      </w:r>
    </w:p>
    <w:p>
      <w:pPr>
        <w:pStyle w:val="ListBullet"/>
        <w:spacing w:after="40"/>
      </w:pPr>
      <w:r>
        <w:t>Réactivité attendue : répondre sous [X] jours pour les demandes organisationnelles.</w:t>
      </w:r>
    </w:p>
    <w:p>
      <w:pPr>
        <w:pStyle w:val="Heading2"/>
      </w:pPr>
      <w:r>
        <w:t>4.3 Gestion des événements</w:t>
      </w:r>
    </w:p>
    <w:p>
      <w:pPr>
        <w:pStyle w:val="ListBullet"/>
        <w:spacing w:after="40"/>
      </w:pPr>
      <w:r>
        <w:t>Inscription : formulaire / liste, conditions d’annulation.</w:t>
      </w:r>
    </w:p>
    <w:p>
      <w:pPr>
        <w:pStyle w:val="ListBullet"/>
        <w:spacing w:after="40"/>
      </w:pPr>
      <w:r>
        <w:t>Sécurité : référent événement, plan simple (évacuation, trousse de secours).</w:t>
      </w:r>
    </w:p>
    <w:p>
      <w:pPr>
        <w:pStyle w:val="ListBullet"/>
        <w:spacing w:after="40"/>
      </w:pPr>
      <w:r>
        <w:t>Mineurs : présence d’au moins [X] encadrants, autorisation parentale (si applicable).</w:t>
      </w:r>
    </w:p>
    <w:p>
      <w:pPr>
        <w:pStyle w:val="Heading1"/>
      </w:pPr>
      <w:r>
        <w:t>5. Gestion financière : règles simples, traçables, auditables</w:t>
      </w:r>
    </w:p>
    <w:p>
      <w:pPr>
        <w:pStyle w:val="Heading2"/>
      </w:pPr>
      <w:r>
        <w:t>5.1 Dépenses et engagements</w:t>
      </w:r>
    </w:p>
    <w:p>
      <w:pPr>
        <w:pStyle w:val="ListBullet"/>
        <w:spacing w:after="40"/>
      </w:pPr>
      <w:r>
        <w:t>Principe : aucune dépense sans justificatif (facture/reçu) et sans validation si seuil dépassé.</w:t>
      </w:r>
    </w:p>
    <w:p>
      <w:pPr>
        <w:pStyle w:val="ListBullet"/>
        <w:spacing w:after="40"/>
      </w:pPr>
      <w:r>
        <w:t>Double validation au-delà de [montant] : Trésorier + Président (ou CA).</w:t>
      </w:r>
    </w:p>
    <w:p>
      <w:pPr>
        <w:pStyle w:val="ListBullet"/>
        <w:spacing w:after="40"/>
      </w:pPr>
      <w:r>
        <w:t>Plafond de caisse : [montant] – dépôt en banque au-delà.</w:t>
      </w:r>
    </w:p>
    <w:p>
      <w:pPr>
        <w:pStyle w:val="Heading2"/>
      </w:pPr>
      <w:r>
        <w:t>5.2 Notes de frais et remboursements</w:t>
      </w:r>
    </w:p>
    <w:p>
      <w:pPr>
        <w:pStyle w:val="ListNumber"/>
        <w:spacing w:after="40"/>
      </w:pPr>
      <w:r>
        <w:t>Formulaire de demande (date, motif, activité, montant).</w:t>
      </w:r>
    </w:p>
    <w:p>
      <w:pPr>
        <w:pStyle w:val="ListNumber"/>
        <w:spacing w:after="40"/>
      </w:pPr>
      <w:r>
        <w:t>Justificatifs obligatoires.</w:t>
      </w:r>
    </w:p>
    <w:p>
      <w:pPr>
        <w:pStyle w:val="ListNumber"/>
        <w:spacing w:after="40"/>
      </w:pPr>
      <w:r>
        <w:t>Validation par : [Trésorier] puis paiement sous [X] jours.</w:t>
      </w:r>
    </w:p>
    <w:p>
      <w:pPr>
        <w:pStyle w:val="Heading2"/>
      </w:pPr>
      <w:r>
        <w:t>5.3 Transparence</w:t>
      </w:r>
    </w:p>
    <w:p>
      <w:pPr>
        <w:spacing w:after="120"/>
      </w:pPr>
      <w:r>
        <w:t>Les comptes (bilan, résultat, budget) sont présentés annuellement en AG. Un contrôle interne peut être déclenché à tout moment par le CA.</w:t>
      </w:r>
    </w:p>
    <w:p>
      <w:pPr>
        <w:pStyle w:val="Heading1"/>
      </w:pPr>
      <w:r>
        <w:t>6. Discipline, médiation et sanctions</w:t>
      </w:r>
    </w:p>
    <w:p>
      <w:pPr>
        <w:pStyle w:val="Heading2"/>
      </w:pPr>
      <w:r>
        <w:t>6.1 Logique de traitement</w:t>
      </w:r>
    </w:p>
    <w:p>
      <w:pPr>
        <w:pStyle w:val="ListBullet"/>
        <w:spacing w:after="40"/>
      </w:pPr>
      <w:r>
        <w:t>Priorité à la médiation et à la clarification.</w:t>
      </w:r>
    </w:p>
    <w:p>
      <w:pPr>
        <w:pStyle w:val="ListBullet"/>
        <w:spacing w:after="40"/>
      </w:pPr>
      <w:r>
        <w:t>Traçabilité : toute alerte est enregistrée (Annexe B).</w:t>
      </w:r>
    </w:p>
    <w:p>
      <w:pPr>
        <w:pStyle w:val="ListBullet"/>
        <w:spacing w:after="40"/>
      </w:pPr>
      <w:r>
        <w:t>Proportionnalité : sanction adaptée à la gravité et à la répétition.</w:t>
      </w:r>
    </w:p>
    <w:p>
      <w:pPr>
        <w:pStyle w:val="Heading2"/>
      </w:pPr>
      <w:r>
        <w:t>6.2 Procédure type (à adapter aux statuts)</w:t>
      </w:r>
    </w:p>
    <w:p>
      <w:pPr>
        <w:pStyle w:val="ListNumber"/>
        <w:spacing w:after="40"/>
      </w:pPr>
      <w:r>
        <w:t>Signalement écrit (date, faits, témoins si besoin).</w:t>
      </w:r>
    </w:p>
    <w:p>
      <w:pPr>
        <w:pStyle w:val="ListNumber"/>
        <w:spacing w:after="40"/>
      </w:pPr>
      <w:r>
        <w:t>Entretien contradictoire avec la personne concernée.</w:t>
      </w:r>
    </w:p>
    <w:p>
      <w:pPr>
        <w:pStyle w:val="ListNumber"/>
        <w:spacing w:after="40"/>
      </w:pPr>
      <w:r>
        <w:t>Décision du [Bureau/CA] : avertissement / suspension / exclusion.</w:t>
      </w:r>
    </w:p>
    <w:p>
      <w:pPr>
        <w:pStyle w:val="ListNumber"/>
        <w:spacing w:after="40"/>
      </w:pPr>
      <w:r>
        <w:t>Notification écrite et possibilité de recours interne sous [X] jours.</w:t>
      </w:r>
    </w:p>
    <w:p>
      <w:pPr>
        <w:pStyle w:val="Heading1"/>
      </w:pPr>
      <w:r>
        <w:t>7. Données personnelles, confidentialité, droit à l’image</w:t>
      </w:r>
    </w:p>
    <w:p>
      <w:pPr>
        <w:spacing w:after="120"/>
      </w:pPr>
      <w:r>
        <w:t>L’association collecte uniquement les données nécessaires à la gestion des adhésions et activités. Les membres peuvent demander l’accès, la rectification ou la suppression de leurs données selon la procédure interne.</w:t>
      </w:r>
    </w:p>
    <w:p>
      <w:pPr>
        <w:pStyle w:val="ListBullet"/>
        <w:spacing w:after="40"/>
      </w:pPr>
      <w:r>
        <w:t>Responsable traitement : [Nom / fonction].</w:t>
      </w:r>
    </w:p>
    <w:p>
      <w:pPr>
        <w:pStyle w:val="ListBullet"/>
        <w:spacing w:after="40"/>
      </w:pPr>
      <w:r>
        <w:t>Stockage : [outil] + accès limité.</w:t>
      </w:r>
    </w:p>
    <w:p>
      <w:pPr>
        <w:pStyle w:val="ListBullet"/>
        <w:spacing w:after="40"/>
      </w:pPr>
      <w:r>
        <w:t>Diffusion externe : uniquement avec base légale/consentement.</w:t>
      </w:r>
    </w:p>
    <w:p>
      <w:pPr>
        <w:pStyle w:val="ListBullet"/>
        <w:spacing w:after="40"/>
      </w:pPr>
      <w:r>
        <w:t>Photos/vidéos : consentement explicite, retrait possible à tout moment.</w:t>
      </w:r>
    </w:p>
    <w:p>
      <w:pPr>
        <w:pStyle w:val="Heading1"/>
      </w:pPr>
      <w:r>
        <w:t>8. Représentation, partenaires, prises de parole</w:t>
      </w:r>
    </w:p>
    <w:p>
      <w:pPr>
        <w:pStyle w:val="ListBullet"/>
        <w:spacing w:after="40"/>
      </w:pPr>
      <w:r>
        <w:t>Seuls les membres mandatés peuvent engager l’association.</w:t>
      </w:r>
    </w:p>
    <w:p>
      <w:pPr>
        <w:pStyle w:val="ListBullet"/>
        <w:spacing w:after="40"/>
      </w:pPr>
      <w:r>
        <w:t>Toute communication publique doit respecter l’objet social et la neutralité définie par les statuts.</w:t>
      </w:r>
    </w:p>
    <w:p>
      <w:pPr>
        <w:pStyle w:val="ListBullet"/>
        <w:spacing w:after="40"/>
      </w:pPr>
      <w:r>
        <w:t>Partenariats : validation par [Bureau/CA] et conservation des conventions.</w:t>
      </w:r>
    </w:p>
    <w:p>
      <w:pPr>
        <w:pStyle w:val="Heading1"/>
      </w:pPr>
      <w:r>
        <w:t>9. Modification, diffusion et versionnage</w:t>
      </w:r>
    </w:p>
    <w:p>
      <w:pPr>
        <w:pStyle w:val="ListBullet"/>
        <w:spacing w:after="40"/>
      </w:pPr>
      <w:r>
        <w:t>Proposition de modification : [Bureau/CA/membres] selon statuts.</w:t>
      </w:r>
    </w:p>
    <w:p>
      <w:pPr>
        <w:pStyle w:val="ListBullet"/>
        <w:spacing w:after="40"/>
      </w:pPr>
      <w:r>
        <w:t>Adoption : vote en [AG/CA] à la majorité de [X]%.</w:t>
      </w:r>
    </w:p>
    <w:p>
      <w:pPr>
        <w:pStyle w:val="ListBullet"/>
        <w:spacing w:after="40"/>
      </w:pPr>
      <w:r>
        <w:t>Versionnage : numéro de version + date + résumé des changements en Annexe E.</w:t>
      </w:r>
    </w:p>
    <w:p>
      <w:pPr>
        <w:pStyle w:val="ListBullet"/>
        <w:spacing w:after="40"/>
      </w:pPr>
      <w:r>
        <w:t>Diffusion : email + espace membre + classeur papier.</w:t>
      </w:r>
    </w:p>
    <w:p>
      <w:r>
        <w:br w:type="page"/>
      </w:r>
    </w:p>
    <w:p>
      <w:pPr>
        <w:pStyle w:val="Heading1"/>
      </w:pPr>
      <w:r>
        <w:t>Annexes opérationnelles (prêtes à imprimer)</w:t>
      </w:r>
    </w:p>
    <w:p>
      <w:pPr>
        <w:pStyle w:val="Heading2"/>
      </w:pPr>
      <w:r>
        <w:t>Annexe A – Fiche d’adhésion (extrait)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F7F7FA"/>
          </w:tcPr>
          <w:p>
            <w:r>
              <w:t>Nom et prénom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Date de naissance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Adresse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Téléphone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Email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Catégorie / cotisation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</w:tbl>
    <w:p/>
    <w:p>
      <w:pPr>
        <w:pStyle w:val="Heading2"/>
      </w:pPr>
      <w:r>
        <w:t>Annexe B – Fiche incident / alerte (traçabilité)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F7F7FA"/>
          </w:tcPr>
          <w:p>
            <w:r>
              <w:t>Date / heure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Lieu / canal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Personnes concernées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Faits observés (objectif)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Action immédiate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Suivi / décision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  <w:tr>
        <w:tc>
          <w:tcPr>
            <w:tcW w:type="dxa" w:w="4986"/>
            <w:shd w:fill="F7F7FA"/>
          </w:tcPr>
          <w:p>
            <w:r>
              <w:t>Signature référent</w:t>
            </w:r>
          </w:p>
        </w:tc>
        <w:tc>
          <w:tcPr>
            <w:tcW w:type="dxa" w:w="4986"/>
          </w:tcPr>
          <w:p>
            <w:r>
              <w:t>__________________________________________</w:t>
            </w:r>
          </w:p>
        </w:tc>
      </w:tr>
    </w:tbl>
    <w:p/>
    <w:p>
      <w:pPr>
        <w:pStyle w:val="Heading2"/>
      </w:pPr>
      <w:r>
        <w:t>Annexe C – Registre de prêt matériel (quotidien)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fill="EAF0FF"/>
          </w:tcPr>
          <w:p>
            <w:r>
              <w:t>Date</w:t>
            </w:r>
          </w:p>
        </w:tc>
        <w:tc>
          <w:tcPr>
            <w:tcW w:type="dxa" w:w="1662"/>
            <w:shd w:fill="EAF0FF"/>
          </w:tcPr>
          <w:p>
            <w:r>
              <w:t>Matériel</w:t>
            </w:r>
          </w:p>
        </w:tc>
        <w:tc>
          <w:tcPr>
            <w:tcW w:type="dxa" w:w="1662"/>
            <w:shd w:fill="EAF0FF"/>
          </w:tcPr>
          <w:p>
            <w:r>
              <w:t>Emprunteur</w:t>
            </w:r>
          </w:p>
        </w:tc>
        <w:tc>
          <w:tcPr>
            <w:tcW w:type="dxa" w:w="1662"/>
            <w:shd w:fill="EAF0FF"/>
          </w:tcPr>
          <w:p>
            <w:r>
              <w:t>État départ</w:t>
            </w:r>
          </w:p>
        </w:tc>
        <w:tc>
          <w:tcPr>
            <w:tcW w:type="dxa" w:w="1662"/>
            <w:shd w:fill="EAF0FF"/>
          </w:tcPr>
          <w:p>
            <w:r>
              <w:t>État retour</w:t>
            </w:r>
          </w:p>
        </w:tc>
        <w:tc>
          <w:tcPr>
            <w:tcW w:type="dxa" w:w="1662"/>
            <w:shd w:fill="EAF0FF"/>
          </w:tcPr>
          <w:p>
            <w:r>
              <w:t>Signature</w:t>
            </w:r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</w:tbl>
    <w:p/>
    <w:p>
      <w:pPr>
        <w:pStyle w:val="Heading2"/>
      </w:pPr>
      <w:r>
        <w:t>Annexe D – Rituels de gouvernance (guide quotidien / hebdo / mensuel)</w:t>
      </w:r>
    </w:p>
    <w:p>
      <w:pPr>
        <w:spacing w:after="120"/>
      </w:pPr>
      <w:r>
        <w:t>Objectif : transformer le règlement intérieur en habitudes simples. Cochez quand c’est fait.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EAF0FF"/>
          </w:tcPr>
          <w:p>
            <w:r>
              <w:t>Fréquence</w:t>
            </w:r>
          </w:p>
        </w:tc>
        <w:tc>
          <w:tcPr>
            <w:tcW w:type="dxa" w:w="2493"/>
            <w:shd w:fill="EAF0FF"/>
          </w:tcPr>
          <w:p>
            <w:r>
              <w:t>Rituel (5–15 min)</w:t>
            </w:r>
          </w:p>
        </w:tc>
        <w:tc>
          <w:tcPr>
            <w:tcW w:type="dxa" w:w="2493"/>
            <w:shd w:fill="EAF0FF"/>
          </w:tcPr>
          <w:p>
            <w:r>
              <w:t>Responsable</w:t>
            </w:r>
          </w:p>
        </w:tc>
        <w:tc>
          <w:tcPr>
            <w:tcW w:type="dxa" w:w="2493"/>
            <w:shd w:fill="EAF0FF"/>
          </w:tcPr>
          <w:p>
            <w:r>
              <w:t>OK</w:t>
            </w:r>
          </w:p>
        </w:tc>
      </w:tr>
      <w:tr>
        <w:tc>
          <w:tcPr>
            <w:tcW w:type="dxa" w:w="2493"/>
          </w:tcPr>
          <w:p>
            <w:r>
              <w:t>Quotidien</w:t>
            </w:r>
          </w:p>
        </w:tc>
        <w:tc>
          <w:tcPr>
            <w:tcW w:type="dxa" w:w="2493"/>
          </w:tcPr>
          <w:p>
            <w:r>
              <w:t>Consulter la boîte email association + répondre aux urgences opérationnelles.</w:t>
            </w:r>
          </w:p>
        </w:tc>
        <w:tc>
          <w:tcPr>
            <w:tcW w:type="dxa" w:w="2493"/>
          </w:tcPr>
          <w:p>
            <w:r>
              <w:t>[Secrétaire]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  <w:tr>
        <w:tc>
          <w:tcPr>
            <w:tcW w:type="dxa" w:w="2493"/>
          </w:tcPr>
          <w:p>
            <w:r>
              <w:t>Quotidien</w:t>
            </w:r>
          </w:p>
        </w:tc>
        <w:tc>
          <w:tcPr>
            <w:tcW w:type="dxa" w:w="2493"/>
          </w:tcPr>
          <w:p>
            <w:r>
              <w:t>Mettre à jour le registre : adhésions / matériel / incidents si besoin.</w:t>
            </w:r>
          </w:p>
        </w:tc>
        <w:tc>
          <w:tcPr>
            <w:tcW w:type="dxa" w:w="2493"/>
          </w:tcPr>
          <w:p>
            <w:r>
              <w:t>[Secrétaire / Référent]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  <w:tr>
        <w:tc>
          <w:tcPr>
            <w:tcW w:type="dxa" w:w="2493"/>
          </w:tcPr>
          <w:p>
            <w:r>
              <w:t>Hebdomadaire</w:t>
            </w:r>
          </w:p>
        </w:tc>
        <w:tc>
          <w:tcPr>
            <w:tcW w:type="dxa" w:w="2493"/>
          </w:tcPr>
          <w:p>
            <w:r>
              <w:t>Point bureau (30 min) : actions, budgets, événements, risques.</w:t>
            </w:r>
          </w:p>
        </w:tc>
        <w:tc>
          <w:tcPr>
            <w:tcW w:type="dxa" w:w="2493"/>
          </w:tcPr>
          <w:p>
            <w:r>
              <w:t>[Bureau]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  <w:tr>
        <w:tc>
          <w:tcPr>
            <w:tcW w:type="dxa" w:w="2493"/>
          </w:tcPr>
          <w:p>
            <w:r>
              <w:t>Mensuel</w:t>
            </w:r>
          </w:p>
        </w:tc>
        <w:tc>
          <w:tcPr>
            <w:tcW w:type="dxa" w:w="2493"/>
          </w:tcPr>
          <w:p>
            <w:r>
              <w:t>Contrôle trésorerie : justificatifs, caisse, dépenses au-dessus des seuils.</w:t>
            </w:r>
          </w:p>
        </w:tc>
        <w:tc>
          <w:tcPr>
            <w:tcW w:type="dxa" w:w="2493"/>
          </w:tcPr>
          <w:p>
            <w:r>
              <w:t>[Trésorier]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  <w:tr>
        <w:tc>
          <w:tcPr>
            <w:tcW w:type="dxa" w:w="2493"/>
          </w:tcPr>
          <w:p>
            <w:r>
              <w:t>Trimestriel</w:t>
            </w:r>
          </w:p>
        </w:tc>
        <w:tc>
          <w:tcPr>
            <w:tcW w:type="dxa" w:w="2493"/>
          </w:tcPr>
          <w:p>
            <w:r>
              <w:t>Revue des règles : ce qui coince, ce qui doit évoluer.</w:t>
            </w:r>
          </w:p>
        </w:tc>
        <w:tc>
          <w:tcPr>
            <w:tcW w:type="dxa" w:w="2493"/>
          </w:tcPr>
          <w:p>
            <w:r>
              <w:t>[CA]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  <w:tr>
        <w:tc>
          <w:tcPr>
            <w:tcW w:type="dxa" w:w="2493"/>
          </w:tcPr>
          <w:p>
            <w:r>
              <w:t>Annuel</w:t>
            </w:r>
          </w:p>
        </w:tc>
        <w:tc>
          <w:tcPr>
            <w:tcW w:type="dxa" w:w="2493"/>
          </w:tcPr>
          <w:p>
            <w:r>
              <w:t>Préparer AG : convocation, documents, PV, budget, rapport moral.</w:t>
            </w:r>
          </w:p>
        </w:tc>
        <w:tc>
          <w:tcPr>
            <w:tcW w:type="dxa" w:w="2493"/>
          </w:tcPr>
          <w:p>
            <w:r>
              <w:t>[Bureau]</w:t>
            </w:r>
          </w:p>
        </w:tc>
        <w:tc>
          <w:tcPr>
            <w:tcW w:type="dxa" w:w="2493"/>
          </w:tcPr>
          <w:p>
            <w:r>
              <w:t>☐</w:t>
            </w:r>
          </w:p>
        </w:tc>
      </w:tr>
    </w:tbl>
    <w:p/>
    <w:p>
      <w:pPr>
        <w:pStyle w:val="Heading2"/>
      </w:pPr>
      <w:r>
        <w:t>Annexe E – Historique des versions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EAF0FF"/>
          </w:tcPr>
          <w:p>
            <w:r>
              <w:t>Version</w:t>
            </w:r>
          </w:p>
        </w:tc>
        <w:tc>
          <w:tcPr>
            <w:tcW w:type="dxa" w:w="2493"/>
            <w:shd w:fill="EAF0FF"/>
          </w:tcPr>
          <w:p>
            <w:r>
              <w:t>Date</w:t>
            </w:r>
          </w:p>
        </w:tc>
        <w:tc>
          <w:tcPr>
            <w:tcW w:type="dxa" w:w="2493"/>
            <w:shd w:fill="EAF0FF"/>
          </w:tcPr>
          <w:p>
            <w:r>
              <w:t>Organe</w:t>
            </w:r>
          </w:p>
        </w:tc>
        <w:tc>
          <w:tcPr>
            <w:tcW w:type="dxa" w:w="2493"/>
            <w:shd w:fill="EAF0FF"/>
          </w:tcPr>
          <w:p>
            <w:r>
              <w:t>Changements clés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  <w:tr>
        <w:tc>
          <w:tcPr>
            <w:tcW w:type="dxa" w:w="2493"/>
          </w:tcPr>
          <w:p>
            <w:r>
              <w:t>[vX.Y]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[AG/CA]</w:t>
            </w:r>
          </w:p>
        </w:tc>
        <w:tc>
          <w:tcPr>
            <w:tcW w:type="dxa" w:w="2493"/>
          </w:tcPr>
          <w:p>
            <w:r>
              <w:t>__________________________________________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Word à adapter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