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00" w:line="276"/>
        <w:ind w:right="0" w:left="0" w:firstLine="0"/>
        <w:jc w:val="center"/>
        <w:rPr>
          <w:rFonts w:ascii="Cambria" w:hAnsi="Cambria" w:cs="Cambria" w:eastAsia="Cambria"/>
          <w:color w:val="auto"/>
          <w:spacing w:val="0"/>
          <w:position w:val="0"/>
          <w:sz w:val="22"/>
          <w:shd w:fill="auto" w:val="clear"/>
        </w:rPr>
      </w:pPr>
      <w:r>
        <w:rPr>
          <w:rFonts w:ascii="Cambria" w:hAnsi="Cambria" w:cs="Cambria" w:eastAsia="Cambria"/>
          <w:b/>
          <w:color w:val="FFFFFF"/>
          <w:spacing w:val="0"/>
          <w:position w:val="0"/>
          <w:sz w:val="32"/>
          <w:shd w:fill="auto" w:val="clear"/>
        </w:rPr>
        <w:t xml:space="preserve">FICHE MÉTHODE : CONTRÔLE ET SUIVI DE TRÉSORERIE</w:t>
      </w:r>
    </w:p>
    <w:p>
      <w:pPr>
        <w:spacing w:before="0" w:after="200" w:line="276"/>
        <w:ind w:right="0" w:left="0" w:firstLine="0"/>
        <w:jc w:val="left"/>
        <w:rPr>
          <w:rFonts w:ascii="Cambria" w:hAnsi="Cambria" w:cs="Cambria" w:eastAsia="Cambria"/>
          <w:color w:val="auto"/>
          <w:spacing w:val="0"/>
          <w:position w:val="0"/>
          <w:sz w:val="22"/>
          <w:shd w:fill="auto" w:val="clear"/>
        </w:rPr>
      </w:pPr>
    </w:p>
    <w:p>
      <w:pPr>
        <w:keepNext w:val="true"/>
        <w:keepLines w:val="true"/>
        <w:spacing w:before="200" w:after="0" w:line="276"/>
        <w:ind w:right="0" w:left="0" w:firstLine="0"/>
        <w:jc w:val="left"/>
        <w:rPr>
          <w:rFonts w:ascii="Calibri" w:hAnsi="Calibri" w:cs="Calibri" w:eastAsia="Calibri"/>
          <w:b/>
          <w:color w:val="4F81BD"/>
          <w:spacing w:val="0"/>
          <w:position w:val="0"/>
          <w:sz w:val="26"/>
          <w:shd w:fill="auto" w:val="clear"/>
        </w:rPr>
      </w:pPr>
      <w:r>
        <w:rPr>
          <w:rFonts w:ascii="Segoe UI Symbol" w:hAnsi="Segoe UI Symbol" w:cs="Segoe UI Symbol" w:eastAsia="Segoe UI Symbol"/>
          <w:b/>
          <w:color w:val="4F81BD"/>
          <w:spacing w:val="0"/>
          <w:position w:val="0"/>
          <w:sz w:val="26"/>
          <w:shd w:fill="auto" w:val="clear"/>
        </w:rPr>
        <w:t xml:space="preserve">📌</w:t>
      </w:r>
      <w:r>
        <w:rPr>
          <w:rFonts w:ascii="Calibri" w:hAnsi="Calibri" w:cs="Calibri" w:eastAsia="Calibri"/>
          <w:b/>
          <w:color w:val="4F81BD"/>
          <w:spacing w:val="0"/>
          <w:position w:val="0"/>
          <w:sz w:val="26"/>
          <w:shd w:fill="auto" w:val="clear"/>
        </w:rPr>
        <w:t xml:space="preserve"> Introduction</w:t>
      </w:r>
    </w:p>
    <w:p>
      <w:pPr>
        <w:spacing w:before="0" w:after="200" w:line="276"/>
        <w:ind w:right="0" w:left="0" w:firstLine="0"/>
        <w:jc w:val="left"/>
        <w:rPr>
          <w:rFonts w:ascii="Cambria" w:hAnsi="Cambria" w:cs="Cambria" w:eastAsia="Cambria"/>
          <w:color w:val="auto"/>
          <w:spacing w:val="0"/>
          <w:position w:val="0"/>
          <w:sz w:val="22"/>
          <w:shd w:fill="auto" w:val="clear"/>
        </w:rPr>
      </w:pPr>
      <w:r>
        <w:rPr>
          <w:rFonts w:ascii="Cambria" w:hAnsi="Cambria" w:cs="Cambria" w:eastAsia="Cambria"/>
          <w:color w:val="auto"/>
          <w:spacing w:val="0"/>
          <w:position w:val="0"/>
          <w:sz w:val="22"/>
          <w:shd w:fill="auto" w:val="clear"/>
        </w:rPr>
        <w:t xml:space="preserve">Le contrôle et le suivi de trésorerie sont des éléments clés de la gestion financière d’une entreprise. Cette fiche méthode détaille les étapes essentielles pour assurer une gestion optimale des flux financiers.</w:t>
      </w:r>
    </w:p>
    <w:p>
      <w:pPr>
        <w:keepNext w:val="true"/>
        <w:keepLines w:val="true"/>
        <w:spacing w:before="200" w:after="0" w:line="276"/>
        <w:ind w:right="0" w:left="0" w:firstLine="0"/>
        <w:jc w:val="left"/>
        <w:rPr>
          <w:rFonts w:ascii="Calibri" w:hAnsi="Calibri" w:cs="Calibri" w:eastAsia="Calibri"/>
          <w:b/>
          <w:color w:val="4F81BD"/>
          <w:spacing w:val="0"/>
          <w:position w:val="0"/>
          <w:sz w:val="26"/>
          <w:shd w:fill="auto" w:val="clear"/>
        </w:rPr>
      </w:pPr>
      <w:r>
        <w:rPr>
          <w:rFonts w:ascii="Segoe UI Symbol" w:hAnsi="Segoe UI Symbol" w:cs="Segoe UI Symbol" w:eastAsia="Segoe UI Symbol"/>
          <w:b/>
          <w:color w:val="4F81BD"/>
          <w:spacing w:val="0"/>
          <w:position w:val="0"/>
          <w:sz w:val="26"/>
          <w:shd w:fill="auto" w:val="clear"/>
        </w:rPr>
        <w:t xml:space="preserve">📌</w:t>
      </w:r>
      <w:r>
        <w:rPr>
          <w:rFonts w:ascii="Calibri" w:hAnsi="Calibri" w:cs="Calibri" w:eastAsia="Calibri"/>
          <w:b/>
          <w:color w:val="4F81BD"/>
          <w:spacing w:val="0"/>
          <w:position w:val="0"/>
          <w:sz w:val="26"/>
          <w:shd w:fill="auto" w:val="clear"/>
        </w:rPr>
        <w:t xml:space="preserve"> 1. Objectifs du Contrôle de Trésorerie</w:t>
      </w:r>
    </w:p>
    <w:tbl>
      <w:tblPr/>
      <w:tblGrid>
        <w:gridCol w:w="8640"/>
      </w:tblGrid>
      <w:tr>
        <w:trPr>
          <w:trHeight w:val="1" w:hRule="atLeast"/>
          <w:jc w:val="left"/>
        </w:trPr>
        <w:tc>
          <w:tcPr>
            <w:tcW w:w="86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shd w:fill="auto" w:val="clear"/>
              </w:rPr>
            </w:pPr>
            <w:r>
              <w:rPr>
                <w:rFonts w:ascii="Segoe UI Symbol" w:hAnsi="Segoe UI Symbol" w:cs="Segoe UI Symbol" w:eastAsia="Segoe UI Symbol"/>
                <w:color w:val="auto"/>
                <w:spacing w:val="0"/>
                <w:position w:val="0"/>
                <w:sz w:val="22"/>
                <w:shd w:fill="auto" w:val="clear"/>
              </w:rPr>
              <w:t xml:space="preserve">✔</w:t>
            </w:r>
            <w:r>
              <w:rPr>
                <w:rFonts w:ascii="Cambria" w:hAnsi="Cambria" w:cs="Cambria" w:eastAsia="Cambria"/>
                <w:color w:val="auto"/>
                <w:spacing w:val="0"/>
                <w:position w:val="0"/>
                <w:sz w:val="22"/>
                <w:shd w:fill="auto" w:val="clear"/>
              </w:rPr>
              <w:t xml:space="preserve"> Assurer la disponibilité des liquidités.</w:t>
            </w:r>
          </w:p>
        </w:tc>
      </w:tr>
      <w:tr>
        <w:trPr>
          <w:trHeight w:val="1" w:hRule="atLeast"/>
          <w:jc w:val="left"/>
        </w:trPr>
        <w:tc>
          <w:tcPr>
            <w:tcW w:w="86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shd w:fill="auto" w:val="clear"/>
              </w:rPr>
            </w:pPr>
            <w:r>
              <w:rPr>
                <w:rFonts w:ascii="Segoe UI Symbol" w:hAnsi="Segoe UI Symbol" w:cs="Segoe UI Symbol" w:eastAsia="Segoe UI Symbol"/>
                <w:color w:val="auto"/>
                <w:spacing w:val="0"/>
                <w:position w:val="0"/>
                <w:sz w:val="22"/>
                <w:shd w:fill="auto" w:val="clear"/>
              </w:rPr>
              <w:t xml:space="preserve">✔</w:t>
            </w:r>
            <w:r>
              <w:rPr>
                <w:rFonts w:ascii="Cambria" w:hAnsi="Cambria" w:cs="Cambria" w:eastAsia="Cambria"/>
                <w:color w:val="auto"/>
                <w:spacing w:val="0"/>
                <w:position w:val="0"/>
                <w:sz w:val="22"/>
                <w:shd w:fill="auto" w:val="clear"/>
              </w:rPr>
              <w:t xml:space="preserve"> Suivre l’évolution des encaissements et décaissements.</w:t>
            </w:r>
          </w:p>
        </w:tc>
      </w:tr>
      <w:tr>
        <w:trPr>
          <w:trHeight w:val="1" w:hRule="atLeast"/>
          <w:jc w:val="left"/>
        </w:trPr>
        <w:tc>
          <w:tcPr>
            <w:tcW w:w="86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shd w:fill="auto" w:val="clear"/>
              </w:rPr>
            </w:pPr>
            <w:r>
              <w:rPr>
                <w:rFonts w:ascii="Segoe UI Symbol" w:hAnsi="Segoe UI Symbol" w:cs="Segoe UI Symbol" w:eastAsia="Segoe UI Symbol"/>
                <w:color w:val="auto"/>
                <w:spacing w:val="0"/>
                <w:position w:val="0"/>
                <w:sz w:val="22"/>
                <w:shd w:fill="auto" w:val="clear"/>
              </w:rPr>
              <w:t xml:space="preserve">✔</w:t>
            </w:r>
            <w:r>
              <w:rPr>
                <w:rFonts w:ascii="Cambria" w:hAnsi="Cambria" w:cs="Cambria" w:eastAsia="Cambria"/>
                <w:color w:val="auto"/>
                <w:spacing w:val="0"/>
                <w:position w:val="0"/>
                <w:sz w:val="22"/>
                <w:shd w:fill="auto" w:val="clear"/>
              </w:rPr>
              <w:t xml:space="preserve"> Anticiper les besoins financiers et éviter les tensions de trésorerie.</w:t>
            </w:r>
          </w:p>
        </w:tc>
      </w:tr>
      <w:tr>
        <w:trPr>
          <w:trHeight w:val="1" w:hRule="atLeast"/>
          <w:jc w:val="left"/>
        </w:trPr>
        <w:tc>
          <w:tcPr>
            <w:tcW w:w="86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shd w:fill="auto" w:val="clear"/>
              </w:rPr>
            </w:pPr>
            <w:r>
              <w:rPr>
                <w:rFonts w:ascii="Segoe UI Symbol" w:hAnsi="Segoe UI Symbol" w:cs="Segoe UI Symbol" w:eastAsia="Segoe UI Symbol"/>
                <w:color w:val="auto"/>
                <w:spacing w:val="0"/>
                <w:position w:val="0"/>
                <w:sz w:val="22"/>
                <w:shd w:fill="auto" w:val="clear"/>
              </w:rPr>
              <w:t xml:space="preserve">✔</w:t>
            </w:r>
            <w:r>
              <w:rPr>
                <w:rFonts w:ascii="Cambria" w:hAnsi="Cambria" w:cs="Cambria" w:eastAsia="Cambria"/>
                <w:color w:val="auto"/>
                <w:spacing w:val="0"/>
                <w:position w:val="0"/>
                <w:sz w:val="22"/>
                <w:shd w:fill="auto" w:val="clear"/>
              </w:rPr>
              <w:t xml:space="preserve"> Optimiser la gestion des paiements et des délais de règlement.</w:t>
            </w:r>
          </w:p>
        </w:tc>
      </w:tr>
      <w:tr>
        <w:trPr>
          <w:trHeight w:val="1" w:hRule="atLeast"/>
          <w:jc w:val="left"/>
        </w:trPr>
        <w:tc>
          <w:tcPr>
            <w:tcW w:w="86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bl>
    <w:p>
      <w:pPr>
        <w:keepNext w:val="true"/>
        <w:keepLines w:val="true"/>
        <w:spacing w:before="200" w:after="0" w:line="276"/>
        <w:ind w:right="0" w:left="0" w:firstLine="0"/>
        <w:jc w:val="left"/>
        <w:rPr>
          <w:rFonts w:ascii="Calibri" w:hAnsi="Calibri" w:cs="Calibri" w:eastAsia="Calibri"/>
          <w:b/>
          <w:color w:val="4F81BD"/>
          <w:spacing w:val="0"/>
          <w:position w:val="0"/>
          <w:sz w:val="26"/>
          <w:shd w:fill="auto" w:val="clear"/>
        </w:rPr>
      </w:pPr>
      <w:r>
        <w:rPr>
          <w:rFonts w:ascii="Segoe UI Symbol" w:hAnsi="Segoe UI Symbol" w:cs="Segoe UI Symbol" w:eastAsia="Segoe UI Symbol"/>
          <w:b/>
          <w:color w:val="4F81BD"/>
          <w:spacing w:val="0"/>
          <w:position w:val="0"/>
          <w:sz w:val="26"/>
          <w:shd w:fill="auto" w:val="clear"/>
        </w:rPr>
        <w:t xml:space="preserve">📌</w:t>
      </w:r>
      <w:r>
        <w:rPr>
          <w:rFonts w:ascii="Calibri" w:hAnsi="Calibri" w:cs="Calibri" w:eastAsia="Calibri"/>
          <w:b/>
          <w:color w:val="4F81BD"/>
          <w:spacing w:val="0"/>
          <w:position w:val="0"/>
          <w:sz w:val="26"/>
          <w:shd w:fill="auto" w:val="clear"/>
        </w:rPr>
        <w:t xml:space="preserve"> 2. Indicateurs Clés à Suivre</w:t>
      </w:r>
    </w:p>
    <w:tbl>
      <w:tblPr/>
      <w:tblGrid>
        <w:gridCol w:w="4320"/>
        <w:gridCol w:w="4320"/>
      </w:tblGrid>
      <w:tr>
        <w:trPr>
          <w:trHeight w:val="1" w:hRule="atLeast"/>
          <w:jc w:val="left"/>
        </w:trPr>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shd w:fill="auto" w:val="clear"/>
              </w:rPr>
            </w:pPr>
            <w:r>
              <w:rPr>
                <w:rFonts w:ascii="Cambria" w:hAnsi="Cambria" w:cs="Cambria" w:eastAsia="Cambria"/>
                <w:color w:val="auto"/>
                <w:spacing w:val="0"/>
                <w:position w:val="0"/>
                <w:sz w:val="22"/>
                <w:shd w:fill="auto" w:val="clear"/>
              </w:rPr>
              <w:t xml:space="preserve">Solde de Trésorerie</w:t>
            </w: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shd w:fill="auto" w:val="clear"/>
              </w:rPr>
            </w:pPr>
            <w:r>
              <w:rPr>
                <w:rFonts w:ascii="Cambria" w:hAnsi="Cambria" w:cs="Cambria" w:eastAsia="Cambria"/>
                <w:color w:val="auto"/>
                <w:spacing w:val="0"/>
                <w:position w:val="0"/>
                <w:sz w:val="22"/>
                <w:shd w:fill="auto" w:val="clear"/>
              </w:rPr>
              <w:t xml:space="preserve">Encaissements - Décaissements</w:t>
            </w:r>
          </w:p>
        </w:tc>
      </w:tr>
      <w:tr>
        <w:trPr>
          <w:trHeight w:val="1" w:hRule="atLeast"/>
          <w:jc w:val="left"/>
        </w:trPr>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shd w:fill="auto" w:val="clear"/>
              </w:rPr>
            </w:pPr>
            <w:r>
              <w:rPr>
                <w:rFonts w:ascii="Cambria" w:hAnsi="Cambria" w:cs="Cambria" w:eastAsia="Cambria"/>
                <w:color w:val="auto"/>
                <w:spacing w:val="0"/>
                <w:position w:val="0"/>
                <w:sz w:val="22"/>
                <w:shd w:fill="auto" w:val="clear"/>
              </w:rPr>
              <w:t xml:space="preserve">Besoin en Fonds de Roulement (BFR)</w:t>
            </w: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shd w:fill="auto" w:val="clear"/>
              </w:rPr>
            </w:pPr>
            <w:r>
              <w:rPr>
                <w:rFonts w:ascii="Cambria" w:hAnsi="Cambria" w:cs="Cambria" w:eastAsia="Cambria"/>
                <w:color w:val="auto"/>
                <w:spacing w:val="0"/>
                <w:position w:val="0"/>
                <w:sz w:val="22"/>
                <w:shd w:fill="auto" w:val="clear"/>
              </w:rPr>
              <w:t xml:space="preserve">Stocks + Créances - Dettes</w:t>
            </w:r>
          </w:p>
        </w:tc>
      </w:tr>
      <w:tr>
        <w:trPr>
          <w:trHeight w:val="1" w:hRule="atLeast"/>
          <w:jc w:val="left"/>
        </w:trPr>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shd w:fill="auto" w:val="clear"/>
              </w:rPr>
            </w:pPr>
            <w:r>
              <w:rPr>
                <w:rFonts w:ascii="Cambria" w:hAnsi="Cambria" w:cs="Cambria" w:eastAsia="Cambria"/>
                <w:color w:val="auto"/>
                <w:spacing w:val="0"/>
                <w:position w:val="0"/>
                <w:sz w:val="22"/>
                <w:shd w:fill="auto" w:val="clear"/>
              </w:rPr>
              <w:t xml:space="preserve">Flux de Trésorerie Net</w:t>
            </w: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shd w:fill="auto" w:val="clear"/>
              </w:rPr>
            </w:pPr>
            <w:r>
              <w:rPr>
                <w:rFonts w:ascii="Cambria" w:hAnsi="Cambria" w:cs="Cambria" w:eastAsia="Cambria"/>
                <w:color w:val="auto"/>
                <w:spacing w:val="0"/>
                <w:position w:val="0"/>
                <w:sz w:val="22"/>
                <w:shd w:fill="auto" w:val="clear"/>
              </w:rPr>
              <w:t xml:space="preserve">Trésorerie exploitation + investissement + financement</w:t>
            </w:r>
          </w:p>
        </w:tc>
      </w:tr>
      <w:tr>
        <w:trPr>
          <w:trHeight w:val="1" w:hRule="atLeast"/>
          <w:jc w:val="left"/>
        </w:trPr>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shd w:fill="auto" w:val="clear"/>
              </w:rPr>
            </w:pPr>
            <w:r>
              <w:rPr>
                <w:rFonts w:ascii="Cambria" w:hAnsi="Cambria" w:cs="Cambria" w:eastAsia="Cambria"/>
                <w:color w:val="auto"/>
                <w:spacing w:val="0"/>
                <w:position w:val="0"/>
                <w:sz w:val="22"/>
                <w:shd w:fill="auto" w:val="clear"/>
              </w:rPr>
              <w:t xml:space="preserve">Ratio de Couverture des Charges</w:t>
            </w: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shd w:fill="auto" w:val="clear"/>
              </w:rPr>
            </w:pPr>
            <w:r>
              <w:rPr>
                <w:rFonts w:ascii="Cambria" w:hAnsi="Cambria" w:cs="Cambria" w:eastAsia="Cambria"/>
                <w:color w:val="auto"/>
                <w:spacing w:val="0"/>
                <w:position w:val="0"/>
                <w:sz w:val="22"/>
                <w:shd w:fill="auto" w:val="clear"/>
              </w:rPr>
              <w:t xml:space="preserve">Encaissements / Décaissements</w:t>
            </w:r>
          </w:p>
        </w:tc>
      </w:tr>
    </w:tbl>
    <w:p>
      <w:pPr>
        <w:keepNext w:val="true"/>
        <w:keepLines w:val="true"/>
        <w:spacing w:before="200" w:after="0" w:line="276"/>
        <w:ind w:right="0" w:left="0" w:firstLine="0"/>
        <w:jc w:val="left"/>
        <w:rPr>
          <w:rFonts w:ascii="Calibri" w:hAnsi="Calibri" w:cs="Calibri" w:eastAsia="Calibri"/>
          <w:b/>
          <w:color w:val="4F81BD"/>
          <w:spacing w:val="0"/>
          <w:position w:val="0"/>
          <w:sz w:val="26"/>
          <w:shd w:fill="auto" w:val="clear"/>
        </w:rPr>
      </w:pPr>
      <w:r>
        <w:rPr>
          <w:rFonts w:ascii="Segoe UI Symbol" w:hAnsi="Segoe UI Symbol" w:cs="Segoe UI Symbol" w:eastAsia="Segoe UI Symbol"/>
          <w:b/>
          <w:color w:val="4F81BD"/>
          <w:spacing w:val="0"/>
          <w:position w:val="0"/>
          <w:sz w:val="26"/>
          <w:shd w:fill="auto" w:val="clear"/>
        </w:rPr>
        <w:t xml:space="preserve">📌</w:t>
      </w:r>
      <w:r>
        <w:rPr>
          <w:rFonts w:ascii="Calibri" w:hAnsi="Calibri" w:cs="Calibri" w:eastAsia="Calibri"/>
          <w:b/>
          <w:color w:val="4F81BD"/>
          <w:spacing w:val="0"/>
          <w:position w:val="0"/>
          <w:sz w:val="26"/>
          <w:shd w:fill="auto" w:val="clear"/>
        </w:rPr>
        <w:t xml:space="preserve"> 3. Outils et Méthodes de Suivi</w:t>
      </w:r>
    </w:p>
    <w:tbl>
      <w:tblPr/>
      <w:tblGrid>
        <w:gridCol w:w="8640"/>
      </w:tblGrid>
      <w:tr>
        <w:trPr>
          <w:trHeight w:val="1" w:hRule="atLeast"/>
          <w:jc w:val="left"/>
        </w:trPr>
        <w:tc>
          <w:tcPr>
            <w:tcW w:w="86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shd w:fill="auto" w:val="clear"/>
              </w:rPr>
            </w:pPr>
            <w:r>
              <w:rPr>
                <w:rFonts w:ascii="Segoe UI Symbol" w:hAnsi="Segoe UI Symbol" w:cs="Segoe UI Symbol" w:eastAsia="Segoe UI Symbol"/>
                <w:color w:val="auto"/>
                <w:spacing w:val="0"/>
                <w:position w:val="0"/>
                <w:sz w:val="22"/>
                <w:shd w:fill="auto" w:val="clear"/>
              </w:rPr>
              <w:t xml:space="preserve">✔</w:t>
            </w:r>
            <w:r>
              <w:rPr>
                <w:rFonts w:ascii="Cambria" w:hAnsi="Cambria" w:cs="Cambria" w:eastAsia="Cambria"/>
                <w:color w:val="auto"/>
                <w:spacing w:val="0"/>
                <w:position w:val="0"/>
                <w:sz w:val="22"/>
                <w:shd w:fill="auto" w:val="clear"/>
              </w:rPr>
              <w:t xml:space="preserve"> Tableaux de bord de trésorerie (Excel, logiciels de gestion).</w:t>
            </w:r>
          </w:p>
        </w:tc>
      </w:tr>
      <w:tr>
        <w:trPr>
          <w:trHeight w:val="1" w:hRule="atLeast"/>
          <w:jc w:val="left"/>
        </w:trPr>
        <w:tc>
          <w:tcPr>
            <w:tcW w:w="86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shd w:fill="auto" w:val="clear"/>
              </w:rPr>
            </w:pPr>
            <w:r>
              <w:rPr>
                <w:rFonts w:ascii="Segoe UI Symbol" w:hAnsi="Segoe UI Symbol" w:cs="Segoe UI Symbol" w:eastAsia="Segoe UI Symbol"/>
                <w:color w:val="auto"/>
                <w:spacing w:val="0"/>
                <w:position w:val="0"/>
                <w:sz w:val="22"/>
                <w:shd w:fill="auto" w:val="clear"/>
              </w:rPr>
              <w:t xml:space="preserve">✔</w:t>
            </w:r>
            <w:r>
              <w:rPr>
                <w:rFonts w:ascii="Cambria" w:hAnsi="Cambria" w:cs="Cambria" w:eastAsia="Cambria"/>
                <w:color w:val="auto"/>
                <w:spacing w:val="0"/>
                <w:position w:val="0"/>
                <w:sz w:val="22"/>
                <w:shd w:fill="auto" w:val="clear"/>
              </w:rPr>
              <w:t xml:space="preserve"> Prévisions de trésorerie pour anticiper les déficits.</w:t>
            </w:r>
          </w:p>
        </w:tc>
      </w:tr>
      <w:tr>
        <w:trPr>
          <w:trHeight w:val="1" w:hRule="atLeast"/>
          <w:jc w:val="left"/>
        </w:trPr>
        <w:tc>
          <w:tcPr>
            <w:tcW w:w="86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shd w:fill="auto" w:val="clear"/>
              </w:rPr>
            </w:pPr>
            <w:r>
              <w:rPr>
                <w:rFonts w:ascii="Segoe UI Symbol" w:hAnsi="Segoe UI Symbol" w:cs="Segoe UI Symbol" w:eastAsia="Segoe UI Symbol"/>
                <w:color w:val="auto"/>
                <w:spacing w:val="0"/>
                <w:position w:val="0"/>
                <w:sz w:val="22"/>
                <w:shd w:fill="auto" w:val="clear"/>
              </w:rPr>
              <w:t xml:space="preserve">✔</w:t>
            </w:r>
            <w:r>
              <w:rPr>
                <w:rFonts w:ascii="Cambria" w:hAnsi="Cambria" w:cs="Cambria" w:eastAsia="Cambria"/>
                <w:color w:val="auto"/>
                <w:spacing w:val="0"/>
                <w:position w:val="0"/>
                <w:sz w:val="22"/>
                <w:shd w:fill="auto" w:val="clear"/>
              </w:rPr>
              <w:t xml:space="preserve"> Suivi régulier des créances et dettes pour éviter les impayés.</w:t>
            </w:r>
          </w:p>
        </w:tc>
      </w:tr>
      <w:tr>
        <w:trPr>
          <w:trHeight w:val="1" w:hRule="atLeast"/>
          <w:jc w:val="left"/>
        </w:trPr>
        <w:tc>
          <w:tcPr>
            <w:tcW w:w="86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shd w:fill="auto" w:val="clear"/>
              </w:rPr>
            </w:pPr>
            <w:r>
              <w:rPr>
                <w:rFonts w:ascii="Segoe UI Symbol" w:hAnsi="Segoe UI Symbol" w:cs="Segoe UI Symbol" w:eastAsia="Segoe UI Symbol"/>
                <w:color w:val="auto"/>
                <w:spacing w:val="0"/>
                <w:position w:val="0"/>
                <w:sz w:val="22"/>
                <w:shd w:fill="auto" w:val="clear"/>
              </w:rPr>
              <w:t xml:space="preserve">✔</w:t>
            </w:r>
            <w:r>
              <w:rPr>
                <w:rFonts w:ascii="Cambria" w:hAnsi="Cambria" w:cs="Cambria" w:eastAsia="Cambria"/>
                <w:color w:val="auto"/>
                <w:spacing w:val="0"/>
                <w:position w:val="0"/>
                <w:sz w:val="22"/>
                <w:shd w:fill="auto" w:val="clear"/>
              </w:rPr>
              <w:t xml:space="preserve"> Comparaison des flux prévisionnels et réels pour ajuster la stratégie.</w:t>
            </w:r>
          </w:p>
        </w:tc>
      </w:tr>
    </w:tbl>
    <w:p>
      <w:pPr>
        <w:keepNext w:val="true"/>
        <w:keepLines w:val="true"/>
        <w:spacing w:before="200" w:after="0" w:line="276"/>
        <w:ind w:right="0" w:left="0" w:firstLine="0"/>
        <w:jc w:val="left"/>
        <w:rPr>
          <w:rFonts w:ascii="Calibri" w:hAnsi="Calibri" w:cs="Calibri" w:eastAsia="Calibri"/>
          <w:b/>
          <w:color w:val="4F81BD"/>
          <w:spacing w:val="0"/>
          <w:position w:val="0"/>
          <w:sz w:val="26"/>
          <w:shd w:fill="auto" w:val="clear"/>
        </w:rPr>
      </w:pPr>
      <w:r>
        <w:rPr>
          <w:rFonts w:ascii="Segoe UI Symbol" w:hAnsi="Segoe UI Symbol" w:cs="Segoe UI Symbol" w:eastAsia="Segoe UI Symbol"/>
          <w:b/>
          <w:color w:val="4F81BD"/>
          <w:spacing w:val="0"/>
          <w:position w:val="0"/>
          <w:sz w:val="26"/>
          <w:shd w:fill="auto" w:val="clear"/>
        </w:rPr>
        <w:t xml:space="preserve">📌</w:t>
      </w:r>
      <w:r>
        <w:rPr>
          <w:rFonts w:ascii="Calibri" w:hAnsi="Calibri" w:cs="Calibri" w:eastAsia="Calibri"/>
          <w:b/>
          <w:color w:val="4F81BD"/>
          <w:spacing w:val="0"/>
          <w:position w:val="0"/>
          <w:sz w:val="26"/>
          <w:shd w:fill="auto" w:val="clear"/>
        </w:rPr>
        <w:t xml:space="preserve"> 4. Bonnes Pratiques pour une Gestion Optimale</w:t>
      </w:r>
    </w:p>
    <w:tbl>
      <w:tblPr/>
      <w:tblGrid>
        <w:gridCol w:w="8640"/>
      </w:tblGrid>
      <w:tr>
        <w:trPr>
          <w:trHeight w:val="1" w:hRule="atLeast"/>
          <w:jc w:val="left"/>
        </w:trPr>
        <w:tc>
          <w:tcPr>
            <w:tcW w:w="86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shd w:fill="auto" w:val="clear"/>
              </w:rPr>
            </w:pPr>
            <w:r>
              <w:rPr>
                <w:rFonts w:ascii="Segoe UI Symbol" w:hAnsi="Segoe UI Symbol" w:cs="Segoe UI Symbol" w:eastAsia="Segoe UI Symbol"/>
                <w:color w:val="auto"/>
                <w:spacing w:val="0"/>
                <w:position w:val="0"/>
                <w:sz w:val="22"/>
                <w:shd w:fill="auto" w:val="clear"/>
              </w:rPr>
              <w:t xml:space="preserve">✔</w:t>
            </w:r>
            <w:r>
              <w:rPr>
                <w:rFonts w:ascii="Cambria" w:hAnsi="Cambria" w:cs="Cambria" w:eastAsia="Cambria"/>
                <w:color w:val="auto"/>
                <w:spacing w:val="0"/>
                <w:position w:val="0"/>
                <w:sz w:val="22"/>
                <w:shd w:fill="auto" w:val="clear"/>
              </w:rPr>
              <w:t xml:space="preserve"> Automatiser le suivi pour réduire les erreurs humaines.</w:t>
            </w:r>
          </w:p>
        </w:tc>
      </w:tr>
      <w:tr>
        <w:trPr>
          <w:trHeight w:val="1" w:hRule="atLeast"/>
          <w:jc w:val="left"/>
        </w:trPr>
        <w:tc>
          <w:tcPr>
            <w:tcW w:w="86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shd w:fill="auto" w:val="clear"/>
              </w:rPr>
            </w:pPr>
            <w:r>
              <w:rPr>
                <w:rFonts w:ascii="Segoe UI Symbol" w:hAnsi="Segoe UI Symbol" w:cs="Segoe UI Symbol" w:eastAsia="Segoe UI Symbol"/>
                <w:color w:val="auto"/>
                <w:spacing w:val="0"/>
                <w:position w:val="0"/>
                <w:sz w:val="22"/>
                <w:shd w:fill="auto" w:val="clear"/>
              </w:rPr>
              <w:t xml:space="preserve">✔</w:t>
            </w:r>
            <w:r>
              <w:rPr>
                <w:rFonts w:ascii="Cambria" w:hAnsi="Cambria" w:cs="Cambria" w:eastAsia="Cambria"/>
                <w:color w:val="auto"/>
                <w:spacing w:val="0"/>
                <w:position w:val="0"/>
                <w:sz w:val="22"/>
                <w:shd w:fill="auto" w:val="clear"/>
              </w:rPr>
              <w:t xml:space="preserve"> Réduire les délais de paiement clients et négocier avec les fournisseurs.</w:t>
            </w:r>
          </w:p>
        </w:tc>
      </w:tr>
      <w:tr>
        <w:trPr>
          <w:trHeight w:val="1" w:hRule="atLeast"/>
          <w:jc w:val="left"/>
        </w:trPr>
        <w:tc>
          <w:tcPr>
            <w:tcW w:w="86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shd w:fill="auto" w:val="clear"/>
              </w:rPr>
            </w:pPr>
            <w:r>
              <w:rPr>
                <w:rFonts w:ascii="Segoe UI Symbol" w:hAnsi="Segoe UI Symbol" w:cs="Segoe UI Symbol" w:eastAsia="Segoe UI Symbol"/>
                <w:color w:val="auto"/>
                <w:spacing w:val="0"/>
                <w:position w:val="0"/>
                <w:sz w:val="22"/>
                <w:shd w:fill="auto" w:val="clear"/>
              </w:rPr>
              <w:t xml:space="preserve">✔</w:t>
            </w:r>
            <w:r>
              <w:rPr>
                <w:rFonts w:ascii="Cambria" w:hAnsi="Cambria" w:cs="Cambria" w:eastAsia="Cambria"/>
                <w:color w:val="auto"/>
                <w:spacing w:val="0"/>
                <w:position w:val="0"/>
                <w:sz w:val="22"/>
                <w:shd w:fill="auto" w:val="clear"/>
              </w:rPr>
              <w:t xml:space="preserve"> Maintenir une réserve de trésorerie pour les imprévus.</w:t>
            </w:r>
          </w:p>
        </w:tc>
      </w:tr>
      <w:tr>
        <w:trPr>
          <w:trHeight w:val="1" w:hRule="atLeast"/>
          <w:jc w:val="left"/>
        </w:trPr>
        <w:tc>
          <w:tcPr>
            <w:tcW w:w="86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shd w:fill="auto" w:val="clear"/>
              </w:rPr>
            </w:pPr>
            <w:r>
              <w:rPr>
                <w:rFonts w:ascii="Segoe UI Symbol" w:hAnsi="Segoe UI Symbol" w:cs="Segoe UI Symbol" w:eastAsia="Segoe UI Symbol"/>
                <w:color w:val="auto"/>
                <w:spacing w:val="0"/>
                <w:position w:val="0"/>
                <w:sz w:val="22"/>
                <w:shd w:fill="auto" w:val="clear"/>
              </w:rPr>
              <w:t xml:space="preserve">✔</w:t>
            </w:r>
            <w:r>
              <w:rPr>
                <w:rFonts w:ascii="Cambria" w:hAnsi="Cambria" w:cs="Cambria" w:eastAsia="Cambria"/>
                <w:color w:val="auto"/>
                <w:spacing w:val="0"/>
                <w:position w:val="0"/>
                <w:sz w:val="22"/>
                <w:shd w:fill="auto" w:val="clear"/>
              </w:rPr>
              <w:t xml:space="preserve"> Réaliser des contrôles réguliers pour assurer la conformité et la performance.</w:t>
            </w:r>
          </w:p>
        </w:tc>
      </w:tr>
    </w:tbl>
    <w:p>
      <w:pPr>
        <w:keepNext w:val="true"/>
        <w:keepLines w:val="true"/>
        <w:spacing w:before="200" w:after="0" w:line="276"/>
        <w:ind w:right="0" w:left="0" w:firstLine="0"/>
        <w:jc w:val="left"/>
        <w:rPr>
          <w:rFonts w:ascii="Calibri" w:hAnsi="Calibri" w:cs="Calibri" w:eastAsia="Calibri"/>
          <w:b/>
          <w:color w:val="4F81BD"/>
          <w:spacing w:val="0"/>
          <w:position w:val="0"/>
          <w:sz w:val="26"/>
          <w:shd w:fill="auto" w:val="clear"/>
        </w:rPr>
      </w:pPr>
      <w:r>
        <w:rPr>
          <w:rFonts w:ascii="Segoe UI Symbol" w:hAnsi="Segoe UI Symbol" w:cs="Segoe UI Symbol" w:eastAsia="Segoe UI Symbol"/>
          <w:b/>
          <w:color w:val="4F81BD"/>
          <w:spacing w:val="0"/>
          <w:position w:val="0"/>
          <w:sz w:val="26"/>
          <w:shd w:fill="auto" w:val="clear"/>
        </w:rPr>
        <w:t xml:space="preserve">📌</w:t>
      </w:r>
      <w:r>
        <w:rPr>
          <w:rFonts w:ascii="Calibri" w:hAnsi="Calibri" w:cs="Calibri" w:eastAsia="Calibri"/>
          <w:b/>
          <w:color w:val="4F81BD"/>
          <w:spacing w:val="0"/>
          <w:position w:val="0"/>
          <w:sz w:val="26"/>
          <w:shd w:fill="auto" w:val="clear"/>
        </w:rPr>
        <w:t xml:space="preserve"> Conclusion</w:t>
      </w:r>
    </w:p>
    <w:p>
      <w:pPr>
        <w:spacing w:before="0" w:after="200" w:line="276"/>
        <w:ind w:right="0" w:left="0" w:firstLine="0"/>
        <w:jc w:val="left"/>
        <w:rPr>
          <w:rFonts w:ascii="Cambria" w:hAnsi="Cambria" w:cs="Cambria" w:eastAsia="Cambria"/>
          <w:color w:val="auto"/>
          <w:spacing w:val="0"/>
          <w:position w:val="0"/>
          <w:sz w:val="22"/>
          <w:shd w:fill="auto" w:val="clear"/>
        </w:rPr>
      </w:pPr>
      <w:r>
        <w:rPr>
          <w:rFonts w:ascii="Cambria" w:hAnsi="Cambria" w:cs="Cambria" w:eastAsia="Cambria"/>
          <w:color w:val="auto"/>
          <w:spacing w:val="0"/>
          <w:position w:val="0"/>
          <w:sz w:val="22"/>
          <w:shd w:fill="auto" w:val="clear"/>
        </w:rPr>
        <w:t xml:space="preserve">Une gestion rigoureuse et proactive de la trésorerie permet de sécuriser les finances de l’entreprise et d’assurer sa pérennité. Le suivi des indicateurs clés et l’utilisation d’outils adaptés sont essentiels pour optimiser la gestion des flux financiers.</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