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pct" w:w="100%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"/>
        <w:gridCol w:w="100"/>
      </w:tblGrid>
      <w:tr>
        <w:tc>
          <w:tcPr>
            <w:tcW w:type="pct" w:w="55%"/>
          </w:tcPr>
          <w:p>
            <w:pPr>
              <w:spacing w:after="100"/>
              <w:jc w:val="left"/>
            </w:pPr>
            <w:r>
              <w:rPr>
                <w:b/>
                <w:bCs/>
                <w:color w:val="123D70"/>
                <w:sz w:val="31"/>
                <w:szCs w:val="31"/>
              </w:rPr>
              <w:t xml:space="preserve">Société Exemple France</w:t>
            </w:r>
          </w:p>
          <w:p>
            <w:pPr>
              <w:spacing w:after="80"/>
              <w:jc w:val="left"/>
            </w:pPr>
            <w:r>
              <w:rPr>
                <w:b w:val="false"/>
                <w:bCs w:val="false"/>
                <w:color w:val="172033"/>
                <w:sz w:val="18"/>
                <w:szCs w:val="18"/>
              </w:rPr>
              <w:t xml:space="preserve">18 avenue de la République75011 Paris</w:t>
            </w:r>
          </w:p>
          <w:p>
            <w:pPr>
              <w:spacing w:after="55"/>
            </w:pPr>
            <w:r>
              <w:rPr>
                <w:b/>
                <w:bCs/>
                <w:color w:val="123D70"/>
                <w:sz w:val="18"/>
                <w:szCs w:val="18"/>
              </w:rPr>
              <w:t xml:space="preserve">SIRET : </w:t>
            </w:r>
            <w:r>
              <w:rPr>
                <w:color w:val="172033"/>
                <w:sz w:val="18"/>
                <w:szCs w:val="18"/>
              </w:rPr>
              <w:t xml:space="preserve">123 456 789 00018</w:t>
            </w:r>
          </w:p>
          <w:p>
            <w:pPr>
              <w:spacing w:after="55"/>
            </w:pPr>
            <w:r>
              <w:rPr>
                <w:b/>
                <w:bCs/>
                <w:color w:val="123D70"/>
                <w:sz w:val="18"/>
                <w:szCs w:val="18"/>
              </w:rPr>
              <w:t xml:space="preserve">Code APE / NAF : </w:t>
            </w:r>
            <w:r>
              <w:rPr>
                <w:color w:val="172033"/>
                <w:sz w:val="18"/>
                <w:szCs w:val="18"/>
              </w:rPr>
              <w:t xml:space="preserve">7022Z</w:t>
            </w:r>
          </w:p>
        </w:tc>
        <w:tc>
          <w:tcPr>
            <w:tcW w:type="pct" w:w="45%"/>
          </w:tcPr>
          <w:p>
            <w:pPr>
              <w:spacing w:after="120"/>
              <w:jc w:val="right"/>
            </w:pPr>
            <w:r>
              <w:rPr>
                <w:b/>
                <w:bCs/>
                <w:color w:val="123D70"/>
                <w:sz w:val="32"/>
                <w:szCs w:val="32"/>
              </w:rPr>
              <w:t xml:space="preserve">BULLETIN DE PAIE</w:t>
            </w:r>
          </w:p>
          <w:p>
            <w:pPr>
              <w:spacing w:after="80"/>
              <w:jc w:val="right"/>
            </w:pPr>
            <w:r>
              <w:rPr>
                <w:b/>
                <w:bCs/>
                <w:color w:val="172033"/>
                <w:sz w:val="18"/>
                <w:szCs w:val="18"/>
              </w:rPr>
              <w:t xml:space="preserve">Période du 01/08/2026 au 31/08/2026</w:t>
            </w:r>
          </w:p>
          <w:p>
            <w:pPr>
              <w:spacing w:after="80"/>
              <w:jc w:val="right"/>
            </w:pPr>
            <w:r>
              <w:rPr>
                <w:b/>
                <w:bCs/>
                <w:color w:val="172033"/>
                <w:sz w:val="18"/>
                <w:szCs w:val="18"/>
              </w:rPr>
              <w:t xml:space="preserve">Paiement le 31/08/2026</w:t>
            </w:r>
          </w:p>
        </w:tc>
      </w:tr>
    </w:tbl>
    <w:p>
      <w:pPr>
        <w:pBdr>
          <w:bottom w:val="single" w:color="123D70" w:sz="18"/>
        </w:pBdr>
        <w:spacing w:after="170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50%"/>
            <w:shd w:fill="F8FAFC" w:val="clear"/>
            <w:tcMar>
              <w:top w:type="dxa" w:w="110"/>
              <w:left w:type="dxa" w:w="110"/>
              <w:bottom w:type="dxa" w:w="110"/>
              <w:right w:type="dxa" w:w="110"/>
            </w:tcMar>
          </w:tcPr>
          <w:p>
            <w:pPr>
              <w:spacing w:after="80"/>
              <w:jc w:val="left"/>
            </w:pPr>
            <w:r>
              <w:rPr>
                <w:b/>
                <w:bCs/>
                <w:color w:val="123D70"/>
                <w:sz w:val="19"/>
                <w:szCs w:val="19"/>
              </w:rPr>
              <w:t xml:space="preserve">INFORMATIONS CONTRACTUELLES</w:t>
            </w:r>
          </w:p>
          <w:p>
            <w:pPr>
              <w:spacing w:after="55"/>
            </w:pPr>
            <w:r>
              <w:rPr>
                <w:b/>
                <w:bCs/>
                <w:color w:val="123D70"/>
                <w:sz w:val="18"/>
                <w:szCs w:val="18"/>
              </w:rPr>
              <w:t xml:space="preserve">Convention collective : </w:t>
            </w:r>
            <w:r>
              <w:rPr>
                <w:color w:val="172033"/>
                <w:sz w:val="18"/>
                <w:szCs w:val="18"/>
              </w:rPr>
              <w:t xml:space="preserve">Convention collective applicable</w:t>
            </w:r>
          </w:p>
          <w:p>
            <w:pPr>
              <w:spacing w:after="55"/>
            </w:pPr>
            <w:r>
              <w:rPr>
                <w:b/>
                <w:bCs/>
                <w:color w:val="123D70"/>
                <w:sz w:val="18"/>
                <w:szCs w:val="18"/>
              </w:rPr>
              <w:t xml:space="preserve">Emploi : </w:t>
            </w:r>
            <w:r>
              <w:rPr>
                <w:color w:val="172033"/>
                <w:sz w:val="18"/>
                <w:szCs w:val="18"/>
              </w:rPr>
              <w:t xml:space="preserve">Assistant administratif</w:t>
            </w:r>
          </w:p>
          <w:p>
            <w:pPr>
              <w:spacing w:after="55"/>
            </w:pPr>
            <w:r>
              <w:rPr>
                <w:b/>
                <w:bCs/>
                <w:color w:val="123D70"/>
                <w:sz w:val="18"/>
                <w:szCs w:val="18"/>
              </w:rPr>
              <w:t xml:space="preserve">Classification : </w:t>
            </w:r>
            <w:r>
              <w:rPr>
                <w:color w:val="172033"/>
                <w:sz w:val="18"/>
                <w:szCs w:val="18"/>
              </w:rPr>
              <w:t xml:space="preserve">Employé - Niveau II</w:t>
            </w:r>
          </w:p>
          <w:p>
            <w:pPr>
              <w:spacing w:after="55"/>
            </w:pPr>
            <w:r>
              <w:rPr>
                <w:b/>
                <w:bCs/>
                <w:color w:val="123D70"/>
                <w:sz w:val="18"/>
                <w:szCs w:val="18"/>
              </w:rPr>
              <w:t xml:space="preserve">Date d’entrée : </w:t>
            </w:r>
            <w:r>
              <w:rPr>
                <w:color w:val="172033"/>
                <w:sz w:val="18"/>
                <w:szCs w:val="18"/>
              </w:rPr>
              <w:t xml:space="preserve">06/01/2025</w:t>
            </w:r>
          </w:p>
          <w:p>
            <w:pPr>
              <w:spacing w:after="55"/>
            </w:pPr>
            <w:r>
              <w:rPr>
                <w:b/>
                <w:bCs/>
                <w:color w:val="123D70"/>
                <w:sz w:val="18"/>
                <w:szCs w:val="18"/>
              </w:rPr>
              <w:t xml:space="preserve">Ancienneté : </w:t>
            </w:r>
            <w:r>
              <w:rPr>
                <w:color w:val="172033"/>
                <w:sz w:val="18"/>
                <w:szCs w:val="18"/>
              </w:rPr>
              <w:t xml:space="preserve">1 an et 7 mois</w:t>
            </w:r>
          </w:p>
        </w:tc>
        <w:tc>
          <w:tcPr>
            <w:tcW w:type="pct" w:w="50%"/>
            <w:shd w:fill="F8FAFC" w:val="clear"/>
            <w:tcMar>
              <w:top w:type="dxa" w:w="110"/>
              <w:left w:type="dxa" w:w="110"/>
              <w:bottom w:type="dxa" w:w="110"/>
              <w:right w:type="dxa" w:w="110"/>
            </w:tcMar>
          </w:tcPr>
          <w:p>
            <w:pPr>
              <w:spacing w:after="80"/>
              <w:jc w:val="left"/>
            </w:pPr>
            <w:r>
              <w:rPr>
                <w:b/>
                <w:bCs/>
                <w:color w:val="123D70"/>
                <w:sz w:val="19"/>
                <w:szCs w:val="19"/>
              </w:rPr>
              <w:t xml:space="preserve">SALARIÉ</w:t>
            </w:r>
          </w:p>
          <w:p>
            <w:pPr>
              <w:spacing w:after="80"/>
              <w:jc w:val="left"/>
            </w:pPr>
            <w:r>
              <w:rPr>
                <w:b/>
                <w:bCs/>
                <w:color w:val="172033"/>
                <w:sz w:val="20"/>
                <w:szCs w:val="20"/>
              </w:rPr>
              <w:t xml:space="preserve">Camille Martin</w:t>
            </w:r>
          </w:p>
          <w:p>
            <w:pPr>
              <w:spacing w:after="80"/>
              <w:jc w:val="left"/>
            </w:pPr>
            <w:r>
              <w:rPr>
                <w:b w:val="false"/>
                <w:bCs w:val="false"/>
                <w:color w:val="172033"/>
                <w:sz w:val="18"/>
                <w:szCs w:val="18"/>
              </w:rPr>
              <w:t xml:space="preserve">12 rue des Lilas69003 Lyon</w:t>
            </w:r>
          </w:p>
          <w:p>
            <w:pPr>
              <w:spacing w:after="55"/>
            </w:pPr>
            <w:r>
              <w:rPr>
                <w:b/>
                <w:bCs/>
                <w:color w:val="123D70"/>
                <w:sz w:val="18"/>
                <w:szCs w:val="18"/>
              </w:rPr>
              <w:t xml:space="preserve">Matricule : </w:t>
            </w:r>
            <w:r>
              <w:rPr>
                <w:color w:val="172033"/>
                <w:sz w:val="18"/>
                <w:szCs w:val="18"/>
              </w:rPr>
              <w:t xml:space="preserve">SAL-001</w:t>
            </w:r>
          </w:p>
          <w:p>
            <w:pPr>
              <w:spacing w:after="55"/>
            </w:pPr>
            <w:r>
              <w:rPr>
                <w:b/>
                <w:bCs/>
                <w:color w:val="123D70"/>
                <w:sz w:val="18"/>
                <w:szCs w:val="18"/>
              </w:rPr>
              <w:t xml:space="preserve">Numéro de Sécurité sociale : </w:t>
            </w:r>
            <w:r>
              <w:rPr>
                <w:color w:val="172033"/>
                <w:sz w:val="18"/>
                <w:szCs w:val="18"/>
              </w:rPr>
              <w:t xml:space="preserve">1 00 00 00 000 000</w:t>
            </w:r>
          </w:p>
        </w:tc>
      </w:tr>
    </w:tbl>
    <w:p>
      <w:pPr>
        <w:spacing w:after="110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40%"/>
            <w:gridSpan w:val="1"/>
            <w:shd w:fill="123D70" w:val="clear"/>
            <w:tcMar>
              <w:top w:type="dxa" w:w="85"/>
              <w:left w:type="dxa" w:w="85"/>
              <w:bottom w:type="dxa" w:w="85"/>
              <w:right w:type="dxa" w:w="85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Rubrique</w:t>
            </w:r>
          </w:p>
        </w:tc>
        <w:tc>
          <w:tcPr>
            <w:tcW w:type="pct" w:w="15%"/>
            <w:gridSpan w:val="1"/>
            <w:shd w:fill="123D70" w:val="clear"/>
            <w:tcMar>
              <w:top w:type="dxa" w:w="85"/>
              <w:left w:type="dxa" w:w="85"/>
              <w:bottom w:type="dxa" w:w="85"/>
              <w:right w:type="dxa" w:w="85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Base ou quantité</w:t>
            </w:r>
          </w:p>
        </w:tc>
        <w:tc>
          <w:tcPr>
            <w:tcW w:type="pct" w:w="15%"/>
            <w:gridSpan w:val="1"/>
            <w:shd w:fill="123D70" w:val="clear"/>
            <w:tcMar>
              <w:top w:type="dxa" w:w="85"/>
              <w:left w:type="dxa" w:w="85"/>
              <w:bottom w:type="dxa" w:w="85"/>
              <w:right w:type="dxa" w:w="85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Taux</w:t>
            </w:r>
          </w:p>
        </w:tc>
        <w:tc>
          <w:tcPr>
            <w:tcW w:type="pct" w:w="15%"/>
            <w:gridSpan w:val="1"/>
            <w:shd w:fill="123D70" w:val="clear"/>
            <w:tcMar>
              <w:top w:type="dxa" w:w="85"/>
              <w:left w:type="dxa" w:w="85"/>
              <w:bottom w:type="dxa" w:w="85"/>
              <w:right w:type="dxa" w:w="85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Part salariale</w:t>
            </w:r>
          </w:p>
        </w:tc>
        <w:tc>
          <w:tcPr>
            <w:tcW w:type="pct" w:w="15%"/>
            <w:gridSpan w:val="1"/>
            <w:shd w:fill="123D70" w:val="clear"/>
            <w:tcMar>
              <w:top w:type="dxa" w:w="85"/>
              <w:left w:type="dxa" w:w="85"/>
              <w:bottom w:type="dxa" w:w="85"/>
              <w:right w:type="dxa" w:w="85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Part employeur</w:t>
            </w:r>
          </w:p>
        </w:tc>
      </w:tr>
      <w:tr>
        <w:tc>
          <w:tcPr>
            <w:tcW w:type="pct" w:w="40%"/>
            <w:gridSpan w:val="1"/>
            <w:tcMar>
              <w:top w:type="dxa" w:w="85"/>
              <w:left w:type="dxa" w:w="85"/>
              <w:bottom w:type="dxa" w:w="85"/>
              <w:right w:type="dxa" w:w="85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172033"/>
                <w:sz w:val="17"/>
                <w:szCs w:val="17"/>
              </w:rPr>
              <w:t xml:space="preserve">Salaire de base</w:t>
            </w:r>
          </w:p>
        </w:tc>
        <w:tc>
          <w:tcPr>
            <w:tcW w:type="pct" w:w="15%"/>
            <w:gridSpan w:val="1"/>
            <w:tcMar>
              <w:top w:type="dxa" w:w="85"/>
              <w:left w:type="dxa" w:w="85"/>
              <w:bottom w:type="dxa" w:w="85"/>
              <w:right w:type="dxa" w:w="85"/>
            </w:tcMar>
            <w:vAlign w:val="center"/>
          </w:tcPr>
          <w:p>
            <w:pPr>
              <w:jc w:val="right"/>
            </w:pPr>
            <w:r>
              <w:rPr>
                <w:b w:val="false"/>
                <w:bCs w:val="false"/>
                <w:color w:val="172033"/>
                <w:sz w:val="17"/>
                <w:szCs w:val="17"/>
              </w:rPr>
              <w:t xml:space="preserve">151,67 h</w:t>
            </w:r>
          </w:p>
        </w:tc>
        <w:tc>
          <w:tcPr>
            <w:tcW w:type="pct" w:w="15%"/>
            <w:gridSpan w:val="1"/>
            <w:tcMar>
              <w:top w:type="dxa" w:w="85"/>
              <w:left w:type="dxa" w:w="85"/>
              <w:bottom w:type="dxa" w:w="85"/>
              <w:right w:type="dxa" w:w="85"/>
            </w:tcMar>
            <w:vAlign w:val="center"/>
          </w:tcPr>
          <w:p>
            <w:pPr>
              <w:jc w:val="right"/>
            </w:pPr>
            <w:r>
              <w:rPr>
                <w:b w:val="false"/>
                <w:bCs w:val="false"/>
                <w:color w:val="172033"/>
                <w:sz w:val="17"/>
                <w:szCs w:val="17"/>
              </w:rPr>
              <w:t xml:space="preserve">18,46 €</w:t>
            </w:r>
          </w:p>
        </w:tc>
        <w:tc>
          <w:tcPr>
            <w:tcW w:type="pct" w:w="15%"/>
            <w:gridSpan w:val="1"/>
            <w:tcMar>
              <w:top w:type="dxa" w:w="85"/>
              <w:left w:type="dxa" w:w="85"/>
              <w:bottom w:type="dxa" w:w="85"/>
              <w:right w:type="dxa" w:w="85"/>
            </w:tcMar>
            <w:vAlign w:val="center"/>
          </w:tcPr>
          <w:p>
            <w:pPr>
              <w:jc w:val="right"/>
            </w:pPr>
            <w:r>
              <w:rPr>
                <w:b w:val="false"/>
                <w:bCs w:val="false"/>
                <w:color w:val="172033"/>
                <w:sz w:val="17"/>
                <w:szCs w:val="17"/>
              </w:rPr>
              <w:t xml:space="preserve">2 799,83 €</w:t>
            </w:r>
          </w:p>
        </w:tc>
        <w:tc>
          <w:tcPr>
            <w:tcW w:type="pct" w:w="15%"/>
            <w:gridSpan w:val="1"/>
            <w:tcMar>
              <w:top w:type="dxa" w:w="85"/>
              <w:left w:type="dxa" w:w="85"/>
              <w:bottom w:type="dxa" w:w="85"/>
              <w:right w:type="dxa" w:w="85"/>
            </w:tcMar>
            <w:vAlign w:val="center"/>
          </w:tcPr>
          <w:p>
            <w:pPr>
              <w:jc w:val="right"/>
            </w:pPr>
            <w:r>
              <w:rPr>
                <w:b w:val="false"/>
                <w:bCs w:val="false"/>
                <w:color w:val="172033"/>
                <w:sz w:val="17"/>
                <w:szCs w:val="17"/>
              </w:rPr>
              <w:t xml:space="preserve">—</w:t>
            </w:r>
          </w:p>
        </w:tc>
      </w:tr>
      <w:tr>
        <w:tc>
          <w:tcPr>
            <w:tcW w:type="pct" w:w="40%"/>
            <w:gridSpan w:val="1"/>
            <w:tcMar>
              <w:top w:type="dxa" w:w="85"/>
              <w:left w:type="dxa" w:w="85"/>
              <w:bottom w:type="dxa" w:w="85"/>
              <w:right w:type="dxa" w:w="85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172033"/>
                <w:sz w:val="17"/>
                <w:szCs w:val="17"/>
              </w:rPr>
              <w:t xml:space="preserve">Prime brute</w:t>
            </w:r>
          </w:p>
        </w:tc>
        <w:tc>
          <w:tcPr>
            <w:tcW w:type="pct" w:w="15%"/>
            <w:gridSpan w:val="1"/>
            <w:tcMar>
              <w:top w:type="dxa" w:w="85"/>
              <w:left w:type="dxa" w:w="85"/>
              <w:bottom w:type="dxa" w:w="85"/>
              <w:right w:type="dxa" w:w="85"/>
            </w:tcMar>
            <w:vAlign w:val="center"/>
          </w:tcPr>
          <w:p>
            <w:pPr>
              <w:jc w:val="right"/>
            </w:pPr>
            <w:r>
              <w:rPr>
                <w:b w:val="false"/>
                <w:bCs w:val="false"/>
                <w:color w:val="172033"/>
                <w:sz w:val="17"/>
                <w:szCs w:val="17"/>
              </w:rPr>
            </w:r>
          </w:p>
        </w:tc>
        <w:tc>
          <w:tcPr>
            <w:tcW w:type="pct" w:w="15%"/>
            <w:gridSpan w:val="1"/>
            <w:tcMar>
              <w:top w:type="dxa" w:w="85"/>
              <w:left w:type="dxa" w:w="85"/>
              <w:bottom w:type="dxa" w:w="85"/>
              <w:right w:type="dxa" w:w="85"/>
            </w:tcMar>
            <w:vAlign w:val="center"/>
          </w:tcPr>
          <w:p>
            <w:pPr>
              <w:jc w:val="right"/>
            </w:pPr>
            <w:r>
              <w:rPr>
                <w:b w:val="false"/>
                <w:bCs w:val="false"/>
                <w:color w:val="172033"/>
                <w:sz w:val="17"/>
                <w:szCs w:val="17"/>
              </w:rPr>
            </w:r>
          </w:p>
        </w:tc>
        <w:tc>
          <w:tcPr>
            <w:tcW w:type="pct" w:w="15%"/>
            <w:gridSpan w:val="1"/>
            <w:tcMar>
              <w:top w:type="dxa" w:w="85"/>
              <w:left w:type="dxa" w:w="85"/>
              <w:bottom w:type="dxa" w:w="85"/>
              <w:right w:type="dxa" w:w="85"/>
            </w:tcMar>
            <w:vAlign w:val="center"/>
          </w:tcPr>
          <w:p>
            <w:pPr>
              <w:jc w:val="right"/>
            </w:pPr>
            <w:r>
              <w:rPr>
                <w:b w:val="false"/>
                <w:bCs w:val="false"/>
                <w:color w:val="172033"/>
                <w:sz w:val="17"/>
                <w:szCs w:val="17"/>
              </w:rPr>
              <w:t xml:space="preserve">150,00 €</w:t>
            </w:r>
          </w:p>
        </w:tc>
        <w:tc>
          <w:tcPr>
            <w:tcW w:type="pct" w:w="15%"/>
            <w:gridSpan w:val="1"/>
            <w:tcMar>
              <w:top w:type="dxa" w:w="85"/>
              <w:left w:type="dxa" w:w="85"/>
              <w:bottom w:type="dxa" w:w="85"/>
              <w:right w:type="dxa" w:w="85"/>
            </w:tcMar>
            <w:vAlign w:val="center"/>
          </w:tcPr>
          <w:p>
            <w:pPr>
              <w:jc w:val="right"/>
            </w:pPr>
            <w:r>
              <w:rPr>
                <w:b w:val="false"/>
                <w:bCs w:val="false"/>
                <w:color w:val="172033"/>
                <w:sz w:val="17"/>
                <w:szCs w:val="17"/>
              </w:rPr>
              <w:t xml:space="preserve">—</w:t>
            </w:r>
          </w:p>
        </w:tc>
      </w:tr>
      <w:tr>
        <w:tc>
          <w:tcPr>
            <w:tcW w:type="pct" w:w="70%"/>
            <w:gridSpan w:val="3"/>
            <w:shd w:fill="177E89" w:val="clear"/>
            <w:tcMar>
              <w:top w:type="dxa" w:w="85"/>
              <w:left w:type="dxa" w:w="85"/>
              <w:bottom w:type="dxa" w:w="85"/>
              <w:right w:type="dxa" w:w="85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Salaire brut</w:t>
            </w:r>
          </w:p>
        </w:tc>
        <w:tc>
          <w:tcPr>
            <w:tcW w:type="pct" w:w="15%"/>
            <w:gridSpan w:val="1"/>
            <w:shd w:fill="177E89" w:val="clear"/>
            <w:tcMar>
              <w:top w:type="dxa" w:w="85"/>
              <w:left w:type="dxa" w:w="85"/>
              <w:bottom w:type="dxa" w:w="85"/>
              <w:right w:type="dxa" w:w="85"/>
            </w:tcMar>
            <w:vAlign w:val="center"/>
          </w:tcPr>
          <w:p>
            <w:pPr>
              <w:jc w:val="right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2 949,83 €</w:t>
            </w:r>
          </w:p>
        </w:tc>
        <w:tc>
          <w:tcPr>
            <w:tcW w:type="pct" w:w="15%"/>
            <w:gridSpan w:val="1"/>
            <w:shd w:fill="177E89" w:val="clear"/>
            <w:tcMar>
              <w:top w:type="dxa" w:w="85"/>
              <w:left w:type="dxa" w:w="85"/>
              <w:bottom w:type="dxa" w:w="85"/>
              <w:right w:type="dxa" w:w="85"/>
            </w:tcMar>
            <w:vAlign w:val="center"/>
          </w:tcPr>
          <w:p>
            <w:pPr>
              <w:jc w:val="right"/>
            </w:pPr>
            <w:r>
              <w:rPr>
                <w:b/>
                <w:bCs/>
                <w:color w:val="FFFFFF"/>
                <w:sz w:val="17"/>
                <w:szCs w:val="17"/>
              </w:rPr>
            </w:r>
          </w:p>
        </w:tc>
      </w:tr>
      <w:tr>
        <w:tc>
          <w:tcPr>
            <w:tcW w:type="pct" w:w="100%"/>
            <w:gridSpan w:val="5"/>
            <w:shd w:fill="E8EFF6" w:val="clear"/>
            <w:tcMar>
              <w:top w:type="dxa" w:w="85"/>
              <w:left w:type="dxa" w:w="85"/>
              <w:bottom w:type="dxa" w:w="85"/>
              <w:right w:type="dxa" w:w="85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color w:val="123D70"/>
                <w:sz w:val="17"/>
                <w:szCs w:val="17"/>
              </w:rPr>
              <w:t xml:space="preserve">Cotisations et contributions sociales</w:t>
            </w:r>
          </w:p>
        </w:tc>
      </w:tr>
      <w:tr>
        <w:tc>
          <w:tcPr>
            <w:tcW w:type="pct" w:w="40%"/>
            <w:gridSpan w:val="1"/>
            <w:tcMar>
              <w:top w:type="dxa" w:w="85"/>
              <w:left w:type="dxa" w:w="85"/>
              <w:bottom w:type="dxa" w:w="85"/>
              <w:right w:type="dxa" w:w="85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172033"/>
                <w:sz w:val="17"/>
                <w:szCs w:val="17"/>
              </w:rPr>
              <w:t xml:space="preserve">Santé</w:t>
            </w:r>
          </w:p>
        </w:tc>
        <w:tc>
          <w:tcPr>
            <w:tcW w:type="pct" w:w="15%"/>
            <w:gridSpan w:val="1"/>
            <w:tcMar>
              <w:top w:type="dxa" w:w="85"/>
              <w:left w:type="dxa" w:w="85"/>
              <w:bottom w:type="dxa" w:w="85"/>
              <w:right w:type="dxa" w:w="85"/>
            </w:tcMar>
            <w:vAlign w:val="center"/>
          </w:tcPr>
          <w:p>
            <w:pPr>
              <w:jc w:val="right"/>
            </w:pPr>
            <w:r>
              <w:rPr>
                <w:b w:val="false"/>
                <w:bCs w:val="false"/>
                <w:color w:val="172033"/>
                <w:sz w:val="17"/>
                <w:szCs w:val="17"/>
              </w:rPr>
              <w:t xml:space="preserve">2 949,83 €</w:t>
            </w:r>
          </w:p>
        </w:tc>
        <w:tc>
          <w:tcPr>
            <w:tcW w:type="pct" w:w="15%"/>
            <w:gridSpan w:val="1"/>
            <w:tcMar>
              <w:top w:type="dxa" w:w="85"/>
              <w:left w:type="dxa" w:w="85"/>
              <w:bottom w:type="dxa" w:w="85"/>
              <w:right w:type="dxa" w:w="85"/>
            </w:tcMar>
            <w:vAlign w:val="center"/>
          </w:tcPr>
          <w:p>
            <w:pPr>
              <w:jc w:val="right"/>
            </w:pPr>
            <w:r>
              <w:rPr>
                <w:b w:val="false"/>
                <w:bCs w:val="false"/>
                <w:color w:val="172033"/>
                <w:sz w:val="17"/>
                <w:szCs w:val="17"/>
              </w:rPr>
              <w:t xml:space="preserve">1,5 %</w:t>
            </w:r>
          </w:p>
        </w:tc>
        <w:tc>
          <w:tcPr>
            <w:tcW w:type="pct" w:w="15%"/>
            <w:gridSpan w:val="1"/>
            <w:tcMar>
              <w:top w:type="dxa" w:w="85"/>
              <w:left w:type="dxa" w:w="85"/>
              <w:bottom w:type="dxa" w:w="85"/>
              <w:right w:type="dxa" w:w="85"/>
            </w:tcMar>
            <w:vAlign w:val="center"/>
          </w:tcPr>
          <w:p>
            <w:pPr>
              <w:jc w:val="right"/>
            </w:pPr>
            <w:r>
              <w:rPr>
                <w:b w:val="false"/>
                <w:bCs w:val="false"/>
                <w:color w:val="172033"/>
                <w:sz w:val="17"/>
                <w:szCs w:val="17"/>
              </w:rPr>
              <w:t xml:space="preserve">− 44,25 €</w:t>
            </w:r>
          </w:p>
        </w:tc>
        <w:tc>
          <w:tcPr>
            <w:tcW w:type="pct" w:w="15%"/>
            <w:gridSpan w:val="1"/>
            <w:tcMar>
              <w:top w:type="dxa" w:w="85"/>
              <w:left w:type="dxa" w:w="85"/>
              <w:bottom w:type="dxa" w:w="85"/>
              <w:right w:type="dxa" w:w="85"/>
            </w:tcMar>
            <w:vAlign w:val="center"/>
          </w:tcPr>
          <w:p>
            <w:pPr>
              <w:jc w:val="right"/>
            </w:pPr>
            <w:r>
              <w:rPr>
                <w:b w:val="false"/>
                <w:bCs w:val="false"/>
                <w:color w:val="172033"/>
                <w:sz w:val="17"/>
                <w:szCs w:val="17"/>
              </w:rPr>
              <w:t xml:space="preserve">235,99 €</w:t>
            </w:r>
          </w:p>
        </w:tc>
      </w:tr>
      <w:tr>
        <w:tc>
          <w:tcPr>
            <w:tcW w:type="pct" w:w="40%"/>
            <w:gridSpan w:val="1"/>
            <w:tcMar>
              <w:top w:type="dxa" w:w="85"/>
              <w:left w:type="dxa" w:w="85"/>
              <w:bottom w:type="dxa" w:w="85"/>
              <w:right w:type="dxa" w:w="85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172033"/>
                <w:sz w:val="17"/>
                <w:szCs w:val="17"/>
              </w:rPr>
              <w:t xml:space="preserve">Retraite</w:t>
            </w:r>
          </w:p>
        </w:tc>
        <w:tc>
          <w:tcPr>
            <w:tcW w:type="pct" w:w="15%"/>
            <w:gridSpan w:val="1"/>
            <w:tcMar>
              <w:top w:type="dxa" w:w="85"/>
              <w:left w:type="dxa" w:w="85"/>
              <w:bottom w:type="dxa" w:w="85"/>
              <w:right w:type="dxa" w:w="85"/>
            </w:tcMar>
            <w:vAlign w:val="center"/>
          </w:tcPr>
          <w:p>
            <w:pPr>
              <w:jc w:val="right"/>
            </w:pPr>
            <w:r>
              <w:rPr>
                <w:b w:val="false"/>
                <w:bCs w:val="false"/>
                <w:color w:val="172033"/>
                <w:sz w:val="17"/>
                <w:szCs w:val="17"/>
              </w:rPr>
              <w:t xml:space="preserve">2 949,83 €</w:t>
            </w:r>
          </w:p>
        </w:tc>
        <w:tc>
          <w:tcPr>
            <w:tcW w:type="pct" w:w="15%"/>
            <w:gridSpan w:val="1"/>
            <w:tcMar>
              <w:top w:type="dxa" w:w="85"/>
              <w:left w:type="dxa" w:w="85"/>
              <w:bottom w:type="dxa" w:w="85"/>
              <w:right w:type="dxa" w:w="85"/>
            </w:tcMar>
            <w:vAlign w:val="center"/>
          </w:tcPr>
          <w:p>
            <w:pPr>
              <w:jc w:val="right"/>
            </w:pPr>
            <w:r>
              <w:rPr>
                <w:b w:val="false"/>
                <w:bCs w:val="false"/>
                <w:color w:val="172033"/>
                <w:sz w:val="17"/>
                <w:szCs w:val="17"/>
              </w:rPr>
              <w:t xml:space="preserve">11,31 %</w:t>
            </w:r>
          </w:p>
        </w:tc>
        <w:tc>
          <w:tcPr>
            <w:tcW w:type="pct" w:w="15%"/>
            <w:gridSpan w:val="1"/>
            <w:tcMar>
              <w:top w:type="dxa" w:w="85"/>
              <w:left w:type="dxa" w:w="85"/>
              <w:bottom w:type="dxa" w:w="85"/>
              <w:right w:type="dxa" w:w="85"/>
            </w:tcMar>
            <w:vAlign w:val="center"/>
          </w:tcPr>
          <w:p>
            <w:pPr>
              <w:jc w:val="right"/>
            </w:pPr>
            <w:r>
              <w:rPr>
                <w:b w:val="false"/>
                <w:bCs w:val="false"/>
                <w:color w:val="172033"/>
                <w:sz w:val="17"/>
                <w:szCs w:val="17"/>
              </w:rPr>
              <w:t xml:space="preserve">− 333,63 €</w:t>
            </w:r>
          </w:p>
        </w:tc>
        <w:tc>
          <w:tcPr>
            <w:tcW w:type="pct" w:w="15%"/>
            <w:gridSpan w:val="1"/>
            <w:tcMar>
              <w:top w:type="dxa" w:w="85"/>
              <w:left w:type="dxa" w:w="85"/>
              <w:bottom w:type="dxa" w:w="85"/>
              <w:right w:type="dxa" w:w="85"/>
            </w:tcMar>
            <w:vAlign w:val="center"/>
          </w:tcPr>
          <w:p>
            <w:pPr>
              <w:jc w:val="right"/>
            </w:pPr>
            <w:r>
              <w:rPr>
                <w:b w:val="false"/>
                <w:bCs w:val="false"/>
                <w:color w:val="172033"/>
                <w:sz w:val="17"/>
                <w:szCs w:val="17"/>
              </w:rPr>
              <w:t xml:space="preserve">471,97 €</w:t>
            </w:r>
          </w:p>
        </w:tc>
      </w:tr>
      <w:tr>
        <w:tc>
          <w:tcPr>
            <w:tcW w:type="pct" w:w="40%"/>
            <w:gridSpan w:val="1"/>
            <w:tcMar>
              <w:top w:type="dxa" w:w="85"/>
              <w:left w:type="dxa" w:w="85"/>
              <w:bottom w:type="dxa" w:w="85"/>
              <w:right w:type="dxa" w:w="85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172033"/>
                <w:sz w:val="17"/>
                <w:szCs w:val="17"/>
              </w:rPr>
              <w:t xml:space="preserve">CSG / CRDS déductible</w:t>
            </w:r>
          </w:p>
        </w:tc>
        <w:tc>
          <w:tcPr>
            <w:tcW w:type="pct" w:w="15%"/>
            <w:gridSpan w:val="1"/>
            <w:tcMar>
              <w:top w:type="dxa" w:w="85"/>
              <w:left w:type="dxa" w:w="85"/>
              <w:bottom w:type="dxa" w:w="85"/>
              <w:right w:type="dxa" w:w="85"/>
            </w:tcMar>
            <w:vAlign w:val="center"/>
          </w:tcPr>
          <w:p>
            <w:pPr>
              <w:jc w:val="right"/>
            </w:pPr>
            <w:r>
              <w:rPr>
                <w:b w:val="false"/>
                <w:bCs w:val="false"/>
                <w:color w:val="172033"/>
                <w:sz w:val="17"/>
                <w:szCs w:val="17"/>
              </w:rPr>
              <w:t xml:space="preserve">2 949,83 €</w:t>
            </w:r>
          </w:p>
        </w:tc>
        <w:tc>
          <w:tcPr>
            <w:tcW w:type="pct" w:w="15%"/>
            <w:gridSpan w:val="1"/>
            <w:tcMar>
              <w:top w:type="dxa" w:w="85"/>
              <w:left w:type="dxa" w:w="85"/>
              <w:bottom w:type="dxa" w:w="85"/>
              <w:right w:type="dxa" w:w="85"/>
            </w:tcMar>
            <w:vAlign w:val="center"/>
          </w:tcPr>
          <w:p>
            <w:pPr>
              <w:jc w:val="right"/>
            </w:pPr>
            <w:r>
              <w:rPr>
                <w:b w:val="false"/>
                <w:bCs w:val="false"/>
                <w:color w:val="172033"/>
                <w:sz w:val="17"/>
                <w:szCs w:val="17"/>
              </w:rPr>
              <w:t xml:space="preserve">6,8 %</w:t>
            </w:r>
          </w:p>
        </w:tc>
        <w:tc>
          <w:tcPr>
            <w:tcW w:type="pct" w:w="15%"/>
            <w:gridSpan w:val="1"/>
            <w:tcMar>
              <w:top w:type="dxa" w:w="85"/>
              <w:left w:type="dxa" w:w="85"/>
              <w:bottom w:type="dxa" w:w="85"/>
              <w:right w:type="dxa" w:w="85"/>
            </w:tcMar>
            <w:vAlign w:val="center"/>
          </w:tcPr>
          <w:p>
            <w:pPr>
              <w:jc w:val="right"/>
            </w:pPr>
            <w:r>
              <w:rPr>
                <w:b w:val="false"/>
                <w:bCs w:val="false"/>
                <w:color w:val="172033"/>
                <w:sz w:val="17"/>
                <w:szCs w:val="17"/>
              </w:rPr>
              <w:t xml:space="preserve">− 200,59 €</w:t>
            </w:r>
          </w:p>
        </w:tc>
        <w:tc>
          <w:tcPr>
            <w:tcW w:type="pct" w:w="15%"/>
            <w:gridSpan w:val="1"/>
            <w:tcMar>
              <w:top w:type="dxa" w:w="85"/>
              <w:left w:type="dxa" w:w="85"/>
              <w:bottom w:type="dxa" w:w="85"/>
              <w:right w:type="dxa" w:w="85"/>
            </w:tcMar>
            <w:vAlign w:val="center"/>
          </w:tcPr>
          <w:p>
            <w:pPr>
              <w:jc w:val="right"/>
            </w:pPr>
            <w:r>
              <w:rPr>
                <w:b w:val="false"/>
                <w:bCs w:val="false"/>
                <w:color w:val="172033"/>
                <w:sz w:val="17"/>
                <w:szCs w:val="17"/>
              </w:rPr>
              <w:t xml:space="preserve">—</w:t>
            </w:r>
          </w:p>
        </w:tc>
      </w:tr>
      <w:tr>
        <w:tc>
          <w:tcPr>
            <w:tcW w:type="pct" w:w="40%"/>
            <w:gridSpan w:val="1"/>
            <w:tcMar>
              <w:top w:type="dxa" w:w="85"/>
              <w:left w:type="dxa" w:w="85"/>
              <w:bottom w:type="dxa" w:w="85"/>
              <w:right w:type="dxa" w:w="85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172033"/>
                <w:sz w:val="17"/>
                <w:szCs w:val="17"/>
              </w:rPr>
              <w:t xml:space="preserve">CSG / CRDS non déductible</w:t>
            </w:r>
          </w:p>
        </w:tc>
        <w:tc>
          <w:tcPr>
            <w:tcW w:type="pct" w:w="15%"/>
            <w:gridSpan w:val="1"/>
            <w:tcMar>
              <w:top w:type="dxa" w:w="85"/>
              <w:left w:type="dxa" w:w="85"/>
              <w:bottom w:type="dxa" w:w="85"/>
              <w:right w:type="dxa" w:w="85"/>
            </w:tcMar>
            <w:vAlign w:val="center"/>
          </w:tcPr>
          <w:p>
            <w:pPr>
              <w:jc w:val="right"/>
            </w:pPr>
            <w:r>
              <w:rPr>
                <w:b w:val="false"/>
                <w:bCs w:val="false"/>
                <w:color w:val="172033"/>
                <w:sz w:val="17"/>
                <w:szCs w:val="17"/>
              </w:rPr>
              <w:t xml:space="preserve">2 949,83 €</w:t>
            </w:r>
          </w:p>
        </w:tc>
        <w:tc>
          <w:tcPr>
            <w:tcW w:type="pct" w:w="15%"/>
            <w:gridSpan w:val="1"/>
            <w:tcMar>
              <w:top w:type="dxa" w:w="85"/>
              <w:left w:type="dxa" w:w="85"/>
              <w:bottom w:type="dxa" w:w="85"/>
              <w:right w:type="dxa" w:w="85"/>
            </w:tcMar>
            <w:vAlign w:val="center"/>
          </w:tcPr>
          <w:p>
            <w:pPr>
              <w:jc w:val="right"/>
            </w:pPr>
            <w:r>
              <w:rPr>
                <w:b w:val="false"/>
                <w:bCs w:val="false"/>
                <w:color w:val="172033"/>
                <w:sz w:val="17"/>
                <w:szCs w:val="17"/>
              </w:rPr>
              <w:t xml:space="preserve">2,9 %</w:t>
            </w:r>
          </w:p>
        </w:tc>
        <w:tc>
          <w:tcPr>
            <w:tcW w:type="pct" w:w="15%"/>
            <w:gridSpan w:val="1"/>
            <w:tcMar>
              <w:top w:type="dxa" w:w="85"/>
              <w:left w:type="dxa" w:w="85"/>
              <w:bottom w:type="dxa" w:w="85"/>
              <w:right w:type="dxa" w:w="85"/>
            </w:tcMar>
            <w:vAlign w:val="center"/>
          </w:tcPr>
          <w:p>
            <w:pPr>
              <w:jc w:val="right"/>
            </w:pPr>
            <w:r>
              <w:rPr>
                <w:b w:val="false"/>
                <w:bCs w:val="false"/>
                <w:color w:val="172033"/>
                <w:sz w:val="17"/>
                <w:szCs w:val="17"/>
              </w:rPr>
              <w:t xml:space="preserve">− 85,55 €</w:t>
            </w:r>
          </w:p>
        </w:tc>
        <w:tc>
          <w:tcPr>
            <w:tcW w:type="pct" w:w="15%"/>
            <w:gridSpan w:val="1"/>
            <w:tcMar>
              <w:top w:type="dxa" w:w="85"/>
              <w:left w:type="dxa" w:w="85"/>
              <w:bottom w:type="dxa" w:w="85"/>
              <w:right w:type="dxa" w:w="85"/>
            </w:tcMar>
            <w:vAlign w:val="center"/>
          </w:tcPr>
          <w:p>
            <w:pPr>
              <w:jc w:val="right"/>
            </w:pPr>
            <w:r>
              <w:rPr>
                <w:b w:val="false"/>
                <w:bCs w:val="false"/>
                <w:color w:val="172033"/>
                <w:sz w:val="17"/>
                <w:szCs w:val="17"/>
              </w:rPr>
              <w:t xml:space="preserve">—</w:t>
            </w:r>
          </w:p>
        </w:tc>
      </w:tr>
      <w:tr>
        <w:tc>
          <w:tcPr>
            <w:tcW w:type="pct" w:w="40%"/>
            <w:gridSpan w:val="1"/>
            <w:tcMar>
              <w:top w:type="dxa" w:w="85"/>
              <w:left w:type="dxa" w:w="85"/>
              <w:bottom w:type="dxa" w:w="85"/>
              <w:right w:type="dxa" w:w="85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172033"/>
                <w:sz w:val="17"/>
                <w:szCs w:val="17"/>
              </w:rPr>
              <w:t xml:space="preserve">Autres contributions</w:t>
            </w:r>
          </w:p>
        </w:tc>
        <w:tc>
          <w:tcPr>
            <w:tcW w:type="pct" w:w="15%"/>
            <w:gridSpan w:val="1"/>
            <w:tcMar>
              <w:top w:type="dxa" w:w="85"/>
              <w:left w:type="dxa" w:w="85"/>
              <w:bottom w:type="dxa" w:w="85"/>
              <w:right w:type="dxa" w:w="85"/>
            </w:tcMar>
            <w:vAlign w:val="center"/>
          </w:tcPr>
          <w:p>
            <w:pPr>
              <w:jc w:val="right"/>
            </w:pPr>
            <w:r>
              <w:rPr>
                <w:b w:val="false"/>
                <w:bCs w:val="false"/>
                <w:color w:val="172033"/>
                <w:sz w:val="17"/>
                <w:szCs w:val="17"/>
              </w:rPr>
              <w:t xml:space="preserve">2 949,83 €</w:t>
            </w:r>
          </w:p>
        </w:tc>
        <w:tc>
          <w:tcPr>
            <w:tcW w:type="pct" w:w="15%"/>
            <w:gridSpan w:val="1"/>
            <w:tcMar>
              <w:top w:type="dxa" w:w="85"/>
              <w:left w:type="dxa" w:w="85"/>
              <w:bottom w:type="dxa" w:w="85"/>
              <w:right w:type="dxa" w:w="85"/>
            </w:tcMar>
            <w:vAlign w:val="center"/>
          </w:tcPr>
          <w:p>
            <w:pPr>
              <w:jc w:val="right"/>
            </w:pPr>
            <w:r>
              <w:rPr>
                <w:b w:val="false"/>
                <w:bCs w:val="false"/>
                <w:color w:val="172033"/>
                <w:sz w:val="17"/>
                <w:szCs w:val="17"/>
              </w:rPr>
              <w:t xml:space="preserve">1,2 %</w:t>
            </w:r>
          </w:p>
        </w:tc>
        <w:tc>
          <w:tcPr>
            <w:tcW w:type="pct" w:w="15%"/>
            <w:gridSpan w:val="1"/>
            <w:tcMar>
              <w:top w:type="dxa" w:w="85"/>
              <w:left w:type="dxa" w:w="85"/>
              <w:bottom w:type="dxa" w:w="85"/>
              <w:right w:type="dxa" w:w="85"/>
            </w:tcMar>
            <w:vAlign w:val="center"/>
          </w:tcPr>
          <w:p>
            <w:pPr>
              <w:jc w:val="right"/>
            </w:pPr>
            <w:r>
              <w:rPr>
                <w:b w:val="false"/>
                <w:bCs w:val="false"/>
                <w:color w:val="172033"/>
                <w:sz w:val="17"/>
                <w:szCs w:val="17"/>
              </w:rPr>
              <w:t xml:space="preserve">− 35,40 €</w:t>
            </w:r>
          </w:p>
        </w:tc>
        <w:tc>
          <w:tcPr>
            <w:tcW w:type="pct" w:w="15%"/>
            <w:gridSpan w:val="1"/>
            <w:tcMar>
              <w:top w:type="dxa" w:w="85"/>
              <w:left w:type="dxa" w:w="85"/>
              <w:bottom w:type="dxa" w:w="85"/>
              <w:right w:type="dxa" w:w="85"/>
            </w:tcMar>
            <w:vAlign w:val="center"/>
          </w:tcPr>
          <w:p>
            <w:pPr>
              <w:jc w:val="right"/>
            </w:pPr>
            <w:r>
              <w:rPr>
                <w:b w:val="false"/>
                <w:bCs w:val="false"/>
                <w:color w:val="172033"/>
                <w:sz w:val="17"/>
                <w:szCs w:val="17"/>
              </w:rPr>
              <w:t xml:space="preserve">530,97 €</w:t>
            </w:r>
          </w:p>
        </w:tc>
      </w:tr>
      <w:tr>
        <w:tc>
          <w:tcPr>
            <w:tcW w:type="pct" w:w="70%"/>
            <w:gridSpan w:val="3"/>
            <w:shd w:fill="EAF6F0" w:val="clear"/>
            <w:tcMar>
              <w:top w:type="dxa" w:w="85"/>
              <w:left w:type="dxa" w:w="85"/>
              <w:bottom w:type="dxa" w:w="85"/>
              <w:right w:type="dxa" w:w="85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color w:val="123D70"/>
                <w:sz w:val="17"/>
                <w:szCs w:val="17"/>
              </w:rPr>
              <w:t xml:space="preserve">Total des cotisations</w:t>
            </w:r>
          </w:p>
        </w:tc>
        <w:tc>
          <w:tcPr>
            <w:tcW w:type="pct" w:w="15%"/>
            <w:gridSpan w:val="1"/>
            <w:shd w:fill="EAF6F0" w:val="clear"/>
            <w:tcMar>
              <w:top w:type="dxa" w:w="85"/>
              <w:left w:type="dxa" w:w="85"/>
              <w:bottom w:type="dxa" w:w="85"/>
              <w:right w:type="dxa" w:w="85"/>
            </w:tcMar>
            <w:vAlign w:val="center"/>
          </w:tcPr>
          <w:p>
            <w:pPr>
              <w:jc w:val="right"/>
            </w:pPr>
            <w:r>
              <w:rPr>
                <w:b/>
                <w:bCs/>
                <w:color w:val="123D70"/>
                <w:sz w:val="17"/>
                <w:szCs w:val="17"/>
              </w:rPr>
              <w:t xml:space="preserve">− 699,40 €</w:t>
            </w:r>
          </w:p>
        </w:tc>
        <w:tc>
          <w:tcPr>
            <w:tcW w:type="pct" w:w="15%"/>
            <w:gridSpan w:val="1"/>
            <w:shd w:fill="EAF6F0" w:val="clear"/>
            <w:tcMar>
              <w:top w:type="dxa" w:w="85"/>
              <w:left w:type="dxa" w:w="85"/>
              <w:bottom w:type="dxa" w:w="85"/>
              <w:right w:type="dxa" w:w="85"/>
            </w:tcMar>
            <w:vAlign w:val="center"/>
          </w:tcPr>
          <w:p>
            <w:pPr>
              <w:jc w:val="right"/>
            </w:pPr>
            <w:r>
              <w:rPr>
                <w:b/>
                <w:bCs/>
                <w:color w:val="123D70"/>
                <w:sz w:val="17"/>
                <w:szCs w:val="17"/>
              </w:rPr>
              <w:t xml:space="preserve">1 238,93 €</w:t>
            </w:r>
          </w:p>
        </w:tc>
      </w:tr>
    </w:tbl>
    <w:p>
      <w:pPr>
        <w:pBdr>
          <w:top w:val="single" w:color="177E89" w:sz="14"/>
          <w:bottom w:val="single" w:color="177E89" w:sz="14"/>
          <w:left w:val="single" w:color="177E89" w:sz="14"/>
          <w:right w:val="single" w:color="177E89" w:sz="14"/>
        </w:pBdr>
        <w:shd w:fill="E7F7F7" w:val="clear"/>
        <w:spacing w:before="160" w:after="160"/>
      </w:pPr>
      <w:r>
        <w:rPr>
          <w:b/>
          <w:bCs/>
          <w:color w:val="0D5259"/>
          <w:sz w:val="24"/>
          <w:szCs w:val="24"/>
        </w:rPr>
        <w:t xml:space="preserve">Montant net social : 2 250,42 €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c>
          <w:tcPr>
            <w:tcW w:type="pct" w:w="35%"/>
            <w:gridSpan w:val="1"/>
            <w:tcMar>
              <w:top w:type="dxa" w:w="85"/>
              <w:left w:type="dxa" w:w="85"/>
              <w:bottom w:type="dxa" w:w="85"/>
              <w:right w:type="dxa" w:w="85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color w:val="172033"/>
                <w:sz w:val="17"/>
                <w:szCs w:val="17"/>
              </w:rPr>
              <w:t xml:space="preserve">Net avant impôt</w:t>
            </w:r>
          </w:p>
        </w:tc>
        <w:tc>
          <w:tcPr>
            <w:tcW w:type="pct" w:w="15%"/>
            <w:gridSpan w:val="1"/>
            <w:tcMar>
              <w:top w:type="dxa" w:w="85"/>
              <w:left w:type="dxa" w:w="85"/>
              <w:bottom w:type="dxa" w:w="85"/>
              <w:right w:type="dxa" w:w="85"/>
            </w:tcMar>
            <w:vAlign w:val="center"/>
          </w:tcPr>
          <w:p>
            <w:pPr>
              <w:jc w:val="right"/>
            </w:pPr>
            <w:r>
              <w:rPr>
                <w:b/>
                <w:bCs/>
                <w:color w:val="172033"/>
                <w:sz w:val="17"/>
                <w:szCs w:val="17"/>
              </w:rPr>
              <w:t xml:space="preserve">2 250,42 €</w:t>
            </w:r>
          </w:p>
        </w:tc>
        <w:tc>
          <w:tcPr>
            <w:tcW w:type="pct" w:w="35%"/>
            <w:gridSpan w:val="1"/>
            <w:tcMar>
              <w:top w:type="dxa" w:w="85"/>
              <w:left w:type="dxa" w:w="85"/>
              <w:bottom w:type="dxa" w:w="85"/>
              <w:right w:type="dxa" w:w="85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color w:val="172033"/>
                <w:sz w:val="17"/>
                <w:szCs w:val="17"/>
              </w:rPr>
              <w:t xml:space="preserve">Coût total employeur</w:t>
            </w:r>
          </w:p>
        </w:tc>
        <w:tc>
          <w:tcPr>
            <w:tcW w:type="pct" w:w="15%"/>
            <w:gridSpan w:val="1"/>
            <w:tcMar>
              <w:top w:type="dxa" w:w="85"/>
              <w:left w:type="dxa" w:w="85"/>
              <w:bottom w:type="dxa" w:w="85"/>
              <w:right w:type="dxa" w:w="85"/>
            </w:tcMar>
            <w:vAlign w:val="center"/>
          </w:tcPr>
          <w:p>
            <w:pPr>
              <w:jc w:val="right"/>
            </w:pPr>
            <w:r>
              <w:rPr>
                <w:b/>
                <w:bCs/>
                <w:color w:val="172033"/>
                <w:sz w:val="17"/>
                <w:szCs w:val="17"/>
              </w:rPr>
              <w:t xml:space="preserve">4 188,76 €</w:t>
            </w:r>
          </w:p>
        </w:tc>
      </w:tr>
      <w:tr>
        <w:tc>
          <w:tcPr>
            <w:tcW w:type="pct" w:w="35%"/>
            <w:gridSpan w:val="1"/>
            <w:tcMar>
              <w:top w:type="dxa" w:w="85"/>
              <w:left w:type="dxa" w:w="85"/>
              <w:bottom w:type="dxa" w:w="85"/>
              <w:right w:type="dxa" w:w="85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172033"/>
                <w:sz w:val="17"/>
                <w:szCs w:val="17"/>
              </w:rPr>
              <w:t xml:space="preserve">Net imposable</w:t>
            </w:r>
          </w:p>
        </w:tc>
        <w:tc>
          <w:tcPr>
            <w:tcW w:type="pct" w:w="15%"/>
            <w:gridSpan w:val="1"/>
            <w:tcMar>
              <w:top w:type="dxa" w:w="85"/>
              <w:left w:type="dxa" w:w="85"/>
              <w:bottom w:type="dxa" w:w="85"/>
              <w:right w:type="dxa" w:w="85"/>
            </w:tcMar>
            <w:vAlign w:val="center"/>
          </w:tcPr>
          <w:p>
            <w:pPr>
              <w:jc w:val="right"/>
            </w:pPr>
            <w:r>
              <w:rPr>
                <w:b w:val="false"/>
                <w:bCs w:val="false"/>
                <w:color w:val="172033"/>
                <w:sz w:val="17"/>
                <w:szCs w:val="17"/>
              </w:rPr>
              <w:t xml:space="preserve">2 335,97 €</w:t>
            </w:r>
          </w:p>
        </w:tc>
        <w:tc>
          <w:tcPr>
            <w:tcW w:type="pct" w:w="35%"/>
            <w:gridSpan w:val="1"/>
            <w:tcMar>
              <w:top w:type="dxa" w:w="85"/>
              <w:left w:type="dxa" w:w="85"/>
              <w:bottom w:type="dxa" w:w="85"/>
              <w:right w:type="dxa" w:w="85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172033"/>
                <w:sz w:val="17"/>
                <w:szCs w:val="17"/>
              </w:rPr>
              <w:t xml:space="preserve">Remboursement de frais</w:t>
            </w:r>
          </w:p>
        </w:tc>
        <w:tc>
          <w:tcPr>
            <w:tcW w:type="pct" w:w="15%"/>
            <w:gridSpan w:val="1"/>
            <w:tcMar>
              <w:top w:type="dxa" w:w="85"/>
              <w:left w:type="dxa" w:w="85"/>
              <w:bottom w:type="dxa" w:w="85"/>
              <w:right w:type="dxa" w:w="85"/>
            </w:tcMar>
            <w:vAlign w:val="center"/>
          </w:tcPr>
          <w:p>
            <w:pPr>
              <w:jc w:val="right"/>
            </w:pPr>
            <w:r>
              <w:rPr>
                <w:b w:val="false"/>
                <w:bCs w:val="false"/>
                <w:color w:val="172033"/>
                <w:sz w:val="17"/>
                <w:szCs w:val="17"/>
              </w:rPr>
              <w:t xml:space="preserve">45,00 €</w:t>
            </w:r>
          </w:p>
        </w:tc>
      </w:tr>
      <w:tr>
        <w:tc>
          <w:tcPr>
            <w:tcW w:type="pct" w:w="35%"/>
            <w:gridSpan w:val="1"/>
            <w:tcMar>
              <w:top w:type="dxa" w:w="85"/>
              <w:left w:type="dxa" w:w="85"/>
              <w:bottom w:type="dxa" w:w="85"/>
              <w:right w:type="dxa" w:w="85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172033"/>
                <w:sz w:val="17"/>
                <w:szCs w:val="17"/>
              </w:rPr>
              <w:t xml:space="preserve">Taux de prélèvement</w:t>
            </w:r>
          </w:p>
        </w:tc>
        <w:tc>
          <w:tcPr>
            <w:tcW w:type="pct" w:w="15%"/>
            <w:gridSpan w:val="1"/>
            <w:tcMar>
              <w:top w:type="dxa" w:w="85"/>
              <w:left w:type="dxa" w:w="85"/>
              <w:bottom w:type="dxa" w:w="85"/>
              <w:right w:type="dxa" w:w="85"/>
            </w:tcMar>
            <w:vAlign w:val="center"/>
          </w:tcPr>
          <w:p>
            <w:pPr>
              <w:jc w:val="right"/>
            </w:pPr>
            <w:r>
              <w:rPr>
                <w:b w:val="false"/>
                <w:bCs w:val="false"/>
                <w:color w:val="172033"/>
                <w:sz w:val="17"/>
                <w:szCs w:val="17"/>
              </w:rPr>
              <w:t xml:space="preserve">3,5 %</w:t>
            </w:r>
          </w:p>
        </w:tc>
        <w:tc>
          <w:tcPr>
            <w:tcW w:type="pct" w:w="35%"/>
            <w:gridSpan w:val="1"/>
            <w:tcMar>
              <w:top w:type="dxa" w:w="85"/>
              <w:left w:type="dxa" w:w="85"/>
              <w:bottom w:type="dxa" w:w="85"/>
              <w:right w:type="dxa" w:w="85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172033"/>
                <w:sz w:val="17"/>
                <w:szCs w:val="17"/>
              </w:rPr>
              <w:t xml:space="preserve">Mode de paiement</w:t>
            </w:r>
          </w:p>
        </w:tc>
        <w:tc>
          <w:tcPr>
            <w:tcW w:type="pct" w:w="15%"/>
            <w:gridSpan w:val="1"/>
            <w:tcMar>
              <w:top w:type="dxa" w:w="85"/>
              <w:left w:type="dxa" w:w="85"/>
              <w:bottom w:type="dxa" w:w="85"/>
              <w:right w:type="dxa" w:w="85"/>
            </w:tcMar>
            <w:vAlign w:val="center"/>
          </w:tcPr>
          <w:p>
            <w:pPr>
              <w:jc w:val="right"/>
            </w:pPr>
            <w:r>
              <w:rPr>
                <w:b w:val="false"/>
                <w:bCs w:val="false"/>
                <w:color w:val="172033"/>
                <w:sz w:val="17"/>
                <w:szCs w:val="17"/>
              </w:rPr>
              <w:t xml:space="preserve">Virement bancaire</w:t>
            </w:r>
          </w:p>
        </w:tc>
      </w:tr>
      <w:tr>
        <w:tc>
          <w:tcPr>
            <w:tcW w:type="pct" w:w="35%"/>
            <w:gridSpan w:val="1"/>
            <w:tcMar>
              <w:top w:type="dxa" w:w="85"/>
              <w:left w:type="dxa" w:w="85"/>
              <w:bottom w:type="dxa" w:w="85"/>
              <w:right w:type="dxa" w:w="85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172033"/>
                <w:sz w:val="17"/>
                <w:szCs w:val="17"/>
              </w:rPr>
              <w:t xml:space="preserve">Impôt prélevé à la source</w:t>
            </w:r>
          </w:p>
        </w:tc>
        <w:tc>
          <w:tcPr>
            <w:tcW w:type="pct" w:w="15%"/>
            <w:gridSpan w:val="1"/>
            <w:tcMar>
              <w:top w:type="dxa" w:w="85"/>
              <w:left w:type="dxa" w:w="85"/>
              <w:bottom w:type="dxa" w:w="85"/>
              <w:right w:type="dxa" w:w="85"/>
            </w:tcMar>
            <w:vAlign w:val="center"/>
          </w:tcPr>
          <w:p>
            <w:pPr>
              <w:jc w:val="right"/>
            </w:pPr>
            <w:r>
              <w:rPr>
                <w:b w:val="false"/>
                <w:bCs w:val="false"/>
                <w:color w:val="172033"/>
                <w:sz w:val="17"/>
                <w:szCs w:val="17"/>
              </w:rPr>
              <w:t xml:space="preserve">− 81,76 €</w:t>
            </w:r>
          </w:p>
        </w:tc>
        <w:tc>
          <w:tcPr>
            <w:tcW w:type="pct" w:w="35%"/>
            <w:gridSpan w:val="1"/>
            <w:tcMar>
              <w:top w:type="dxa" w:w="85"/>
              <w:left w:type="dxa" w:w="85"/>
              <w:bottom w:type="dxa" w:w="85"/>
              <w:right w:type="dxa" w:w="85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172033"/>
                <w:sz w:val="17"/>
                <w:szCs w:val="17"/>
              </w:rPr>
              <w:t xml:space="preserve">Allègement employeur</w:t>
            </w:r>
          </w:p>
        </w:tc>
        <w:tc>
          <w:tcPr>
            <w:tcW w:type="pct" w:w="15%"/>
            <w:gridSpan w:val="1"/>
            <w:tcMar>
              <w:top w:type="dxa" w:w="85"/>
              <w:left w:type="dxa" w:w="85"/>
              <w:bottom w:type="dxa" w:w="85"/>
              <w:right w:type="dxa" w:w="85"/>
            </w:tcMar>
            <w:vAlign w:val="center"/>
          </w:tcPr>
          <w:p>
            <w:pPr>
              <w:jc w:val="right"/>
            </w:pPr>
            <w:r>
              <w:rPr>
                <w:b w:val="false"/>
                <w:bCs w:val="false"/>
                <w:color w:val="172033"/>
                <w:sz w:val="17"/>
                <w:szCs w:val="17"/>
              </w:rPr>
              <w:t xml:space="preserve">À compléter</w:t>
            </w:r>
          </w:p>
        </w:tc>
      </w:tr>
    </w:tbl>
    <w:p>
      <w:pPr>
        <w:shd w:fill="123D70" w:val="clear"/>
        <w:spacing w:before="170" w:after="170"/>
        <w:jc w:val="right"/>
      </w:pPr>
      <w:r>
        <w:rPr>
          <w:b/>
          <w:bCs/>
          <w:color w:val="FFFFFF"/>
          <w:sz w:val="30"/>
          <w:szCs w:val="30"/>
        </w:rPr>
        <w:t xml:space="preserve">NET À PAYER : 2 213,67 €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  <w:gridCol w:w="100"/>
      </w:tblGrid>
      <w:tr>
        <w:tc>
          <w:tcPr>
            <w:tcW w:type="pct" w:w="28%"/>
            <w:gridSpan w:val="1"/>
            <w:shd w:fill="123D70" w:val="clear"/>
            <w:tcMar>
              <w:top w:type="dxa" w:w="85"/>
              <w:left w:type="dxa" w:w="85"/>
              <w:bottom w:type="dxa" w:w="85"/>
              <w:right w:type="dxa" w:w="85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Congés payés</w:t>
            </w:r>
          </w:p>
        </w:tc>
        <w:tc>
          <w:tcPr>
            <w:tcW w:type="pct" w:w="18%"/>
            <w:gridSpan w:val="1"/>
            <w:shd w:fill="123D70" w:val="clear"/>
            <w:tcMar>
              <w:top w:type="dxa" w:w="85"/>
              <w:left w:type="dxa" w:w="85"/>
              <w:bottom w:type="dxa" w:w="85"/>
              <w:right w:type="dxa" w:w="85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Solde antérieur</w:t>
            </w:r>
          </w:p>
        </w:tc>
        <w:tc>
          <w:tcPr>
            <w:tcW w:type="pct" w:w="18%"/>
            <w:gridSpan w:val="1"/>
            <w:shd w:fill="123D70" w:val="clear"/>
            <w:tcMar>
              <w:top w:type="dxa" w:w="85"/>
              <w:left w:type="dxa" w:w="85"/>
              <w:bottom w:type="dxa" w:w="85"/>
              <w:right w:type="dxa" w:w="85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Acquis</w:t>
            </w:r>
          </w:p>
        </w:tc>
        <w:tc>
          <w:tcPr>
            <w:tcW w:type="pct" w:w="18%"/>
            <w:gridSpan w:val="1"/>
            <w:shd w:fill="123D70" w:val="clear"/>
            <w:tcMar>
              <w:top w:type="dxa" w:w="85"/>
              <w:left w:type="dxa" w:w="85"/>
              <w:bottom w:type="dxa" w:w="85"/>
              <w:right w:type="dxa" w:w="85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Pris</w:t>
            </w:r>
          </w:p>
        </w:tc>
        <w:tc>
          <w:tcPr>
            <w:tcW w:type="pct" w:w="18%"/>
            <w:gridSpan w:val="1"/>
            <w:shd w:fill="123D70" w:val="clear"/>
            <w:tcMar>
              <w:top w:type="dxa" w:w="85"/>
              <w:left w:type="dxa" w:w="85"/>
              <w:bottom w:type="dxa" w:w="85"/>
              <w:right w:type="dxa" w:w="85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Nouveau solde</w:t>
            </w:r>
          </w:p>
        </w:tc>
      </w:tr>
      <w:tr>
        <w:tc>
          <w:tcPr>
            <w:tcW w:type="pct" w:w="28%"/>
            <w:gridSpan w:val="1"/>
            <w:tcMar>
              <w:top w:type="dxa" w:w="85"/>
              <w:left w:type="dxa" w:w="85"/>
              <w:bottom w:type="dxa" w:w="85"/>
              <w:right w:type="dxa" w:w="85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172033"/>
                <w:sz w:val="17"/>
                <w:szCs w:val="17"/>
              </w:rPr>
              <w:t xml:space="preserve">Congés en jours</w:t>
            </w:r>
          </w:p>
        </w:tc>
        <w:tc>
          <w:tcPr>
            <w:tcW w:type="pct" w:w="18%"/>
            <w:gridSpan w:val="1"/>
            <w:tcMar>
              <w:top w:type="dxa" w:w="85"/>
              <w:left w:type="dxa" w:w="85"/>
              <w:bottom w:type="dxa" w:w="85"/>
              <w:right w:type="dxa" w:w="85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color w:val="172033"/>
                <w:sz w:val="17"/>
                <w:szCs w:val="17"/>
              </w:rPr>
              <w:t xml:space="preserve">8</w:t>
            </w:r>
          </w:p>
        </w:tc>
        <w:tc>
          <w:tcPr>
            <w:tcW w:type="pct" w:w="18%"/>
            <w:gridSpan w:val="1"/>
            <w:tcMar>
              <w:top w:type="dxa" w:w="85"/>
              <w:left w:type="dxa" w:w="85"/>
              <w:bottom w:type="dxa" w:w="85"/>
              <w:right w:type="dxa" w:w="85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color w:val="172033"/>
                <w:sz w:val="17"/>
                <w:szCs w:val="17"/>
              </w:rPr>
              <w:t xml:space="preserve">15</w:t>
            </w:r>
          </w:p>
        </w:tc>
        <w:tc>
          <w:tcPr>
            <w:tcW w:type="pct" w:w="18%"/>
            <w:gridSpan w:val="1"/>
            <w:tcMar>
              <w:top w:type="dxa" w:w="85"/>
              <w:left w:type="dxa" w:w="85"/>
              <w:bottom w:type="dxa" w:w="85"/>
              <w:right w:type="dxa" w:w="85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color w:val="172033"/>
                <w:sz w:val="17"/>
                <w:szCs w:val="17"/>
              </w:rPr>
              <w:t xml:space="preserve">2</w:t>
            </w:r>
          </w:p>
        </w:tc>
        <w:tc>
          <w:tcPr>
            <w:tcW w:type="pct" w:w="18%"/>
            <w:gridSpan w:val="1"/>
            <w:tcMar>
              <w:top w:type="dxa" w:w="85"/>
              <w:left w:type="dxa" w:w="85"/>
              <w:bottom w:type="dxa" w:w="85"/>
              <w:right w:type="dxa" w:w="85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172033"/>
                <w:sz w:val="17"/>
                <w:szCs w:val="17"/>
              </w:rPr>
              <w:t xml:space="preserve">21</w:t>
            </w:r>
          </w:p>
        </w:tc>
      </w:tr>
    </w:tbl>
    <w:p>
      <w:pPr>
        <w:spacing w:after="0"/>
        <w:jc w:val="left"/>
      </w:pPr>
      <w:r>
        <w:rPr>
          <w:b w:val="false"/>
          <w:bCs w:val="false"/>
          <w:color w:val="4F6074"/>
          <w:sz w:val="16"/>
          <w:szCs w:val="16"/>
        </w:rPr>
        <w:t xml:space="preserve">Conservez ce bulletin sans limitation de durée. Ce document constitue un modèle pédagogique à vérifier selon la réglementation, la convention collective, les taux applicables et la situation du salarié.</w:t>
      </w:r>
    </w:p>
    <w:sectPr>
      <w:pgSz w:w="11906" w:h="16838" w:orient="portrait"/>
      <w:pgMar w:top="650" w:right="650" w:bottom="650" w:left="65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Bulletin de paie</dc:title>
  <dc:creator>Générateur de fiches de paie</dc:creator>
  <dc:description>Bulletin de paie généré au format DOCX</dc:description>
  <cp:lastModifiedBy>Un-named</cp:lastModifiedBy>
  <cp:revision>1</cp:revision>
  <dcterms:created xsi:type="dcterms:W3CDTF">2026-08-04T04:09:10.604Z</dcterms:created>
  <dcterms:modified xsi:type="dcterms:W3CDTF">2026-08-04T04:09:10.604Z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