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12355B"/>
          <w:sz w:val="48"/>
        </w:rPr>
        <w:t>MANUEL DE PROCÉDURES</w:t>
        <w:br/>
        <w:t>ADMINISTRATIVES ET FINANCIÈRES</w:t>
      </w:r>
    </w:p>
    <w:p>
      <w:pPr>
        <w:jc w:val="center"/>
      </w:pPr>
      <w:r>
        <w:rPr>
          <w:i/>
          <w:color w:val="5A5A5A"/>
          <w:sz w:val="26"/>
        </w:rPr>
        <w:t>Modèle professionnel à compléter</w:t>
        <w:br/>
        <w:t>Organisation • Gouvernance • Gestion financière • Contrôle interne</w:t>
      </w:r>
    </w:p>
    <w:p>
      <w:r>
        <w:br w:type="page"/>
      </w:r>
    </w:p>
    <w:p>
      <w:pPr>
        <w:shd w:fill="12355B"/>
      </w:pPr>
      <w:r>
        <w:rPr>
          <w:b/>
          <w:color w:val="FFFFFF"/>
          <w:sz w:val="30"/>
        </w:rPr>
        <w:t>1. Informations Générales</w:t>
      </w:r>
    </w:p>
    <w:p/>
    <w:p>
      <w:r>
        <w:rPr>
          <w:b/>
          <w:sz w:val="22"/>
        </w:rPr>
        <w:t xml:space="preserve">Nom de l’organisation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Adresse du siège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Responsable administratif et financier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Date de mise en application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Version du manuel : 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2. Présentation de l’Organisation</w:t>
      </w:r>
    </w:p>
    <w:p/>
    <w:p>
      <w:r>
        <w:rPr>
          <w:b/>
          <w:sz w:val="22"/>
        </w:rPr>
        <w:t xml:space="preserve">Mission et objectifs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Organigramme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Description des services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3. Procédures Administratives</w:t>
      </w:r>
    </w:p>
    <w:p/>
    <w:p>
      <w:r>
        <w:rPr>
          <w:b/>
          <w:sz w:val="22"/>
        </w:rPr>
        <w:t xml:space="preserve">Gestion du courrier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Gestion documentaire et archivage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Gestion des contrats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Gestion des ressources humaines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4. Procédures Financières</w:t>
      </w:r>
    </w:p>
    <w:p/>
    <w:p>
      <w:r>
        <w:rPr>
          <w:b/>
          <w:sz w:val="22"/>
        </w:rPr>
        <w:t xml:space="preserve">Gestion de caisse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Gestion bancaire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Validation des dépenses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Procédure d’achat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Suivi budgétaire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5. Contrôle Interne</w:t>
      </w:r>
    </w:p>
    <w:p/>
    <w:p>
      <w:r>
        <w:rPr>
          <w:b/>
          <w:sz w:val="22"/>
        </w:rPr>
        <w:t xml:space="preserve">Mesures de contrôle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Gestion des risques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Séparation des tâches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6. Validation et Approbation</w:t>
      </w:r>
    </w:p>
    <w:p/>
    <w:p>
      <w:r>
        <w:rPr>
          <w:b/>
          <w:sz w:val="22"/>
        </w:rPr>
        <w:t xml:space="preserve">Nom du validateur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Fonction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Date de validation : </w:t>
      </w:r>
    </w:p>
    <w:p>
      <w:r>
        <w:t>________________________________________________________________________________________________________________________</w:t>
      </w:r>
    </w:p>
    <w:p>
      <w:r>
        <w:rPr>
          <w:b/>
          <w:sz w:val="22"/>
        </w:rPr>
        <w:t xml:space="preserve">Signature : 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r>
        <w:t>________________________________________________________________________________________________________________________</w:t>
      </w:r>
    </w:p>
    <w:p>
      <w:pPr>
        <w:shd w:fill="12355B"/>
      </w:pPr>
      <w:r>
        <w:rPr>
          <w:b/>
          <w:color w:val="FFFFFF"/>
          <w:sz w:val="30"/>
        </w:rPr>
        <w:t>7. Tableau de Suivi des Procédures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5"/>
        <w:gridCol w:w="2045"/>
        <w:gridCol w:w="2045"/>
        <w:gridCol w:w="2045"/>
        <w:gridCol w:w="2045"/>
      </w:tblGrid>
      <w:tr>
        <w:tc>
          <w:tcPr>
            <w:tcW w:type="dxa" w:w="2045"/>
            <w:shd w:fill="12355B"/>
          </w:tcPr>
          <w:p>
            <w:r>
              <w:rPr>
                <w:b/>
                <w:color w:val="FFFFFF"/>
              </w:rPr>
              <w:t>Procédure</w:t>
            </w:r>
          </w:p>
        </w:tc>
        <w:tc>
          <w:tcPr>
            <w:tcW w:type="dxa" w:w="2045"/>
            <w:shd w:fill="12355B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045"/>
            <w:shd w:fill="12355B"/>
          </w:tcPr>
          <w:p>
            <w:r>
              <w:rPr>
                <w:b/>
                <w:color w:val="FFFFFF"/>
              </w:rPr>
              <w:t>Fréquence</w:t>
            </w:r>
          </w:p>
        </w:tc>
        <w:tc>
          <w:tcPr>
            <w:tcW w:type="dxa" w:w="2045"/>
            <w:shd w:fill="12355B"/>
          </w:tcPr>
          <w:p>
            <w:r>
              <w:rPr>
                <w:b/>
                <w:color w:val="FFFFFF"/>
              </w:rPr>
              <w:t>Document associé</w:t>
            </w:r>
          </w:p>
        </w:tc>
        <w:tc>
          <w:tcPr>
            <w:tcW w:type="dxa" w:w="2045"/>
            <w:shd w:fill="12355B"/>
          </w:tcPr>
          <w:p>
            <w:r>
              <w:rPr>
                <w:b/>
                <w:color w:val="FFFFFF"/>
              </w:rPr>
              <w:t>Observations</w:t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  <w:tr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  <w:tc>
          <w:tcPr>
            <w:tcW w:type="dxa" w:w="2045"/>
          </w:tcPr>
          <w:p>
            <w:r>
              <w:br/>
              <w:br/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Modèle de manuel de procédures administratives et financières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