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REPORTING FINANCIER – CONTRÔLE DE GESTION</w:t>
        <w:br/>
      </w:r>
      <w:r>
        <w:t>Modèle professionnel mensuel</w:t>
      </w:r>
    </w:p>
    <w:p>
      <w:r>
        <w:t>Période : __________________________</w:t>
      </w:r>
    </w:p>
    <w:p>
      <w:r>
        <w:t>Entreprise : _______________________</w:t>
      </w:r>
    </w:p>
    <w:p>
      <w:r>
        <w:t>Responsable : ______________________</w:t>
      </w:r>
    </w:p>
    <w:p>
      <w:pPr>
        <w:pStyle w:val="Heading1"/>
      </w:pPr>
      <w:r>
        <w:t>1. Synthèse Financière</w:t>
      </w:r>
    </w:p>
    <w:p>
      <w:r>
        <w:t>Faits marquants, résultats du mois, risques et recommandations.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Indicateur</w:t>
            </w:r>
          </w:p>
        </w:tc>
        <w:tc>
          <w:tcPr>
            <w:tcW w:type="dxa" w:w="1728"/>
          </w:tcPr>
          <w:p>
            <w:r>
              <w:t>Budget</w:t>
            </w:r>
          </w:p>
        </w:tc>
        <w:tc>
          <w:tcPr>
            <w:tcW w:type="dxa" w:w="1728"/>
          </w:tcPr>
          <w:p>
            <w:r>
              <w:t>Réalisé</w:t>
            </w:r>
          </w:p>
        </w:tc>
        <w:tc>
          <w:tcPr>
            <w:tcW w:type="dxa" w:w="1728"/>
          </w:tcPr>
          <w:p>
            <w:r>
              <w:t>Écart</w:t>
            </w:r>
          </w:p>
        </w:tc>
        <w:tc>
          <w:tcPr>
            <w:tcW w:type="dxa" w:w="1728"/>
          </w:tcPr>
          <w:p>
            <w:r>
              <w:t>Commentaire</w:t>
            </w:r>
          </w:p>
        </w:tc>
      </w:tr>
      <w:tr>
        <w:tc>
          <w:tcPr>
            <w:tcW w:type="dxa" w:w="1728"/>
          </w:tcPr>
          <w:p>
            <w:r>
              <w:t>Chiffre d'affaires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Marge brute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EBITDA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Résultat d'exploitation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Résultat net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Trésorerie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  <w:tr>
        <w:tc>
          <w:tcPr>
            <w:tcW w:type="dxa" w:w="1728"/>
          </w:tcPr>
          <w:p>
            <w:r>
              <w:t>BFR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</w:tr>
    </w:tbl>
    <w:p>
      <w:pPr>
        <w:pStyle w:val="Heading1"/>
      </w:pPr>
      <w:r>
        <w:t>2. Reporting Budgétaire</w:t>
      </w:r>
    </w:p>
    <w:p>
      <w:r>
        <w:t>Analyse des écarts entre budget et réalisé.</w:t>
      </w:r>
    </w:p>
    <w:p>
      <w:pPr>
        <w:pStyle w:val="Heading1"/>
      </w:pPr>
      <w:r>
        <w:t>3. Trésorerie et Cash-Flow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Flux</w:t>
            </w:r>
          </w:p>
        </w:tc>
        <w:tc>
          <w:tcPr>
            <w:tcW w:type="dxa" w:w="2160"/>
          </w:tcPr>
          <w:p>
            <w:r>
              <w:t>Prévu</w:t>
            </w:r>
          </w:p>
        </w:tc>
        <w:tc>
          <w:tcPr>
            <w:tcW w:type="dxa" w:w="2160"/>
          </w:tcPr>
          <w:p>
            <w:r>
              <w:t>Réalisé</w:t>
            </w:r>
          </w:p>
        </w:tc>
        <w:tc>
          <w:tcPr>
            <w:tcW w:type="dxa" w:w="2160"/>
          </w:tcPr>
          <w:p>
            <w:r>
              <w:t>Écart</w:t>
            </w:r>
          </w:p>
        </w:tc>
      </w:tr>
      <w:tr>
        <w:tc>
          <w:tcPr>
            <w:tcW w:type="dxa" w:w="2160"/>
          </w:tcPr>
          <w:p>
            <w:r>
              <w:t>Encaissements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Décaissements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Investissements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Financements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p>
      <w:pPr>
        <w:pStyle w:val="Heading1"/>
      </w:pPr>
      <w:r>
        <w:t>4. Analyse des KPI Financiers</w:t>
      </w:r>
    </w:p>
    <w:p>
      <w:r>
        <w:t>Marge, rentabilité, solvabilité, liquidité, performance.</w:t>
      </w:r>
    </w:p>
    <w:p>
      <w:pPr>
        <w:pStyle w:val="Heading1"/>
      </w:pPr>
      <w:r>
        <w:t>5. Plan d’Actions et Décisions</w:t>
      </w:r>
    </w:p>
    <w:p>
      <w:r>
        <w:t>Actions correctives, responsable, échéance, statut.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