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center"/>
      </w:pPr>
      <w:r>
        <w:rPr>
          <w:b/>
          <w:color w:val="1F4E79"/>
          <w:sz w:val="32"/>
        </w:rPr>
        <w:t>COMPTE D’EXPLOITATION PRÉVISIONNEL – 3 ANS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82"/>
        <w:gridCol w:w="3982"/>
        <w:gridCol w:w="3982"/>
        <w:gridCol w:w="3982"/>
      </w:tblGrid>
      <w:tr>
        <w:tc>
          <w:tcPr>
            <w:tcW w:type="dxa" w:w="8957"/>
            <w:shd w:fill="DCE6F1"/>
          </w:tcPr>
          <w:p>
            <w:pPr>
              <w:jc w:val="center"/>
            </w:pPr>
            <w:r>
              <w:rPr>
                <w:b/>
                <w:color w:val="1F4E79"/>
                <w:sz w:val="18"/>
              </w:rPr>
            </w:r>
          </w:p>
        </w:tc>
        <w:tc>
          <w:tcPr>
            <w:tcW w:type="dxa" w:w="2126"/>
            <w:shd w:fill="DCE6F1"/>
          </w:tcPr>
          <w:p>
            <w:pPr>
              <w:jc w:val="center"/>
            </w:pPr>
            <w:r>
              <w:rPr>
                <w:b/>
                <w:color w:val="1F4E79"/>
                <w:sz w:val="18"/>
              </w:rPr>
              <w:t>Année 1</w:t>
            </w:r>
          </w:p>
        </w:tc>
        <w:tc>
          <w:tcPr>
            <w:tcW w:type="dxa" w:w="2126"/>
            <w:shd w:fill="DCE6F1"/>
          </w:tcPr>
          <w:p>
            <w:pPr>
              <w:jc w:val="center"/>
            </w:pPr>
            <w:r>
              <w:rPr>
                <w:b/>
                <w:color w:val="1F4E79"/>
                <w:sz w:val="18"/>
              </w:rPr>
              <w:t>Année 2</w:t>
            </w:r>
          </w:p>
        </w:tc>
        <w:tc>
          <w:tcPr>
            <w:tcW w:type="dxa" w:w="2126"/>
            <w:shd w:fill="DCE6F1"/>
          </w:tcPr>
          <w:p>
            <w:pPr>
              <w:jc w:val="center"/>
            </w:pPr>
            <w:r>
              <w:rPr>
                <w:b/>
                <w:color w:val="1F4E79"/>
                <w:sz w:val="18"/>
              </w:rPr>
              <w:t>Année 3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</w:pPr>
            <w:r>
              <w:rPr>
                <w:b/>
                <w:color w:val="232323"/>
                <w:sz w:val="17"/>
              </w:rPr>
              <w:t>Produits d'exploitation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68 400,00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76 950,00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86 570,00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</w:pPr>
            <w:r>
              <w:rPr>
                <w:i/>
                <w:color w:val="232323"/>
                <w:sz w:val="17"/>
              </w:rPr>
              <w:t xml:space="preserve">  Chiffre d’affaires HT vente de marchandises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29 400,00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33 075,00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37 210,00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</w:pPr>
            <w:r>
              <w:rPr>
                <w:i/>
                <w:color w:val="232323"/>
                <w:sz w:val="17"/>
              </w:rPr>
              <w:t xml:space="preserve">  Chiffre d’affaires HT services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39 000,00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43 875,00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49 360,00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</w:pPr>
            <w:r>
              <w:rPr>
                <w:b/>
                <w:color w:val="232323"/>
                <w:sz w:val="17"/>
              </w:rPr>
              <w:t>Charges d'exploitation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24 624,00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27 702,00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31 165,20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</w:pPr>
            <w:r>
              <w:rPr>
                <w:i/>
                <w:color w:val="232323"/>
                <w:sz w:val="17"/>
              </w:rPr>
              <w:t xml:space="preserve">  Achats consommés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24 624,00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27 702,00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31 165,20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</w:tcPr>
          <w:p>
            <w:r/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r/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r/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r/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  <w:top w:val="single" w:sz="8" w:color="7F7F7F"/>
              <w:bottom w:val="single" w:sz="8" w:color="7F7F7F"/>
            </w:tcBorders>
            <w:shd w:fill="EAF2F8"/>
          </w:tcPr>
          <w:p>
            <w:pPr>
              <w:spacing w:before="10" w:after="10"/>
            </w:pPr>
            <w:r>
              <w:rPr>
                <w:b/>
                <w:color w:val="232323"/>
                <w:sz w:val="17"/>
              </w:rPr>
              <w:t>Marge brute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  <w:top w:val="single" w:sz="8" w:color="7F7F7F"/>
              <w:bottom w:val="single" w:sz="8" w:color="7F7F7F"/>
            </w:tcBorders>
            <w:shd w:fill="EAF2F8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43 776,00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  <w:top w:val="single" w:sz="8" w:color="7F7F7F"/>
              <w:bottom w:val="single" w:sz="8" w:color="7F7F7F"/>
            </w:tcBorders>
            <w:shd w:fill="EAF2F8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49 248,00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  <w:top w:val="single" w:sz="8" w:color="7F7F7F"/>
              <w:bottom w:val="single" w:sz="8" w:color="7F7F7F"/>
            </w:tcBorders>
            <w:shd w:fill="EAF2F8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55 404,80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</w:pPr>
            <w:r>
              <w:rPr>
                <w:b/>
                <w:color w:val="232323"/>
                <w:sz w:val="17"/>
              </w:rPr>
              <w:t>Charges externes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11 540,00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12 230,00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13 090,00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</w:pPr>
            <w:r>
              <w:rPr>
                <w:i/>
                <w:color w:val="232323"/>
                <w:sz w:val="17"/>
              </w:rPr>
              <w:t xml:space="preserve">  Assurances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1 350,00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1 400,00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1 460,00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</w:pPr>
            <w:r>
              <w:rPr>
                <w:i/>
                <w:color w:val="232323"/>
                <w:sz w:val="17"/>
              </w:rPr>
              <w:t xml:space="preserve">  Téléphone, internet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420,00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450,00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480,00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</w:pPr>
            <w:r>
              <w:rPr>
                <w:i/>
                <w:color w:val="232323"/>
                <w:sz w:val="17"/>
              </w:rPr>
              <w:t xml:space="preserve">  Autres abonnements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360,00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420,00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480,00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</w:pPr>
            <w:r>
              <w:rPr>
                <w:i/>
                <w:color w:val="232323"/>
                <w:sz w:val="17"/>
              </w:rPr>
              <w:t xml:space="preserve">  Carburant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3 600,00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3 850,00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4 100,00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</w:pPr>
            <w:r>
              <w:rPr>
                <w:i/>
                <w:color w:val="232323"/>
                <w:sz w:val="17"/>
              </w:rPr>
              <w:t xml:space="preserve">  Frais de déplacement et hébergement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600,00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700,00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800,00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</w:pPr>
            <w:r>
              <w:rPr>
                <w:i/>
                <w:color w:val="232323"/>
                <w:sz w:val="17"/>
              </w:rPr>
              <w:t xml:space="preserve">  Eau, électricité, gaz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780,00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820,00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870,00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</w:pPr>
            <w:r>
              <w:rPr>
                <w:i/>
                <w:color w:val="232323"/>
                <w:sz w:val="17"/>
              </w:rPr>
              <w:t xml:space="preserve">  Mutuelle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480,00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500,00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520,00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</w:pPr>
            <w:r>
              <w:rPr>
                <w:i/>
                <w:color w:val="232323"/>
                <w:sz w:val="17"/>
              </w:rPr>
              <w:t xml:space="preserve">  Fournitures diverses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350,00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370,00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390,00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</w:pPr>
            <w:r>
              <w:rPr>
                <w:i/>
                <w:color w:val="232323"/>
                <w:sz w:val="17"/>
              </w:rPr>
              <w:t xml:space="preserve">  Entretien matériel et vêtements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500,00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550,00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600,00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</w:pPr>
            <w:r>
              <w:rPr>
                <w:i/>
                <w:color w:val="232323"/>
                <w:sz w:val="17"/>
              </w:rPr>
              <w:t xml:space="preserve">  Nettoyage des locaux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300,00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320,00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340,00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</w:pPr>
            <w:r>
              <w:rPr>
                <w:i/>
                <w:color w:val="232323"/>
                <w:sz w:val="17"/>
              </w:rPr>
              <w:t xml:space="preserve">  Budget publicité et communication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800,00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900,00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1 050,00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</w:pPr>
            <w:r>
              <w:rPr>
                <w:i/>
                <w:color w:val="232323"/>
                <w:sz w:val="17"/>
              </w:rPr>
              <w:t xml:space="preserve">  Loyer et charges locatives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1 600,00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1 650,00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1 700,00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</w:pPr>
            <w:r>
              <w:rPr>
                <w:i/>
                <w:color w:val="232323"/>
                <w:sz w:val="17"/>
              </w:rPr>
              <w:t xml:space="preserve">  Expert comptable, avocats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400,00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300,00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300,00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</w:tcPr>
          <w:p>
            <w:r/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r/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r/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r/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  <w:top w:val="single" w:sz="8" w:color="7F7F7F"/>
              <w:bottom w:val="single" w:sz="8" w:color="7F7F7F"/>
            </w:tcBorders>
            <w:shd w:fill="EAF2F8"/>
          </w:tcPr>
          <w:p>
            <w:pPr>
              <w:spacing w:before="10" w:after="10"/>
            </w:pPr>
            <w:r>
              <w:rPr>
                <w:b/>
                <w:color w:val="232323"/>
                <w:sz w:val="17"/>
              </w:rPr>
              <w:t>Valeur ajoutée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  <w:top w:val="single" w:sz="8" w:color="7F7F7F"/>
              <w:bottom w:val="single" w:sz="8" w:color="7F7F7F"/>
            </w:tcBorders>
            <w:shd w:fill="EAF2F8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32 236,00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  <w:top w:val="single" w:sz="8" w:color="7F7F7F"/>
              <w:bottom w:val="single" w:sz="8" w:color="7F7F7F"/>
            </w:tcBorders>
            <w:shd w:fill="EAF2F8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37 018,00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  <w:top w:val="single" w:sz="8" w:color="7F7F7F"/>
              <w:bottom w:val="single" w:sz="8" w:color="7F7F7F"/>
            </w:tcBorders>
            <w:shd w:fill="EAF2F8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42 314,80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</w:pPr>
            <w:r>
              <w:rPr>
                <w:b/>
                <w:color w:val="232323"/>
                <w:sz w:val="17"/>
              </w:rPr>
              <w:t>Impôts et taxes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520,00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560,00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610,00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</w:pPr>
            <w:r>
              <w:rPr>
                <w:i/>
                <w:color w:val="232323"/>
                <w:sz w:val="17"/>
              </w:rPr>
              <w:t>Salaires employés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6 000,00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7 200,00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8 400,00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</w:pPr>
            <w:r>
              <w:rPr>
                <w:i/>
                <w:color w:val="232323"/>
                <w:sz w:val="17"/>
              </w:rPr>
              <w:t>Charges sociales employés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2 400,00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2 880,00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3 360,00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</w:pPr>
            <w:r>
              <w:rPr>
                <w:i/>
                <w:color w:val="232323"/>
                <w:sz w:val="17"/>
              </w:rPr>
              <w:t>Prélèvement dirigeant(s)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8 000,00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9 000,00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10 000,00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</w:pPr>
            <w:r>
              <w:rPr>
                <w:i/>
                <w:color w:val="232323"/>
                <w:sz w:val="17"/>
              </w:rPr>
              <w:t>Charges sociales dirigeant(s)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2 100,00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2 500,00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pPr>
              <w:spacing w:before="10" w:after="10"/>
              <w:jc w:val="right"/>
            </w:pPr>
            <w:r>
              <w:rPr>
                <w:color w:val="232323"/>
                <w:sz w:val="17"/>
              </w:rPr>
              <w:t>2 900,00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  <w:top w:val="single" w:sz="8" w:color="7F7F7F"/>
              <w:bottom w:val="single" w:sz="8" w:color="7F7F7F"/>
            </w:tcBorders>
            <w:shd w:fill="EAF2F8"/>
          </w:tcPr>
          <w:p>
            <w:pPr>
              <w:spacing w:before="10" w:after="10"/>
            </w:pPr>
            <w:r>
              <w:rPr>
                <w:b/>
                <w:color w:val="232323"/>
                <w:sz w:val="17"/>
              </w:rPr>
              <w:t>Excédent brut d'exploitation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  <w:top w:val="single" w:sz="8" w:color="7F7F7F"/>
              <w:bottom w:val="single" w:sz="8" w:color="7F7F7F"/>
            </w:tcBorders>
            <w:shd w:fill="EAF2F8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13 216,00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  <w:top w:val="single" w:sz="8" w:color="7F7F7F"/>
              <w:bottom w:val="single" w:sz="8" w:color="7F7F7F"/>
            </w:tcBorders>
            <w:shd w:fill="EAF2F8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14 878,00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  <w:top w:val="single" w:sz="8" w:color="7F7F7F"/>
              <w:bottom w:val="single" w:sz="8" w:color="7F7F7F"/>
            </w:tcBorders>
            <w:shd w:fill="EAF2F8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17 044,80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</w:pPr>
            <w:r>
              <w:rPr>
                <w:b/>
                <w:color w:val="232323"/>
                <w:sz w:val="17"/>
              </w:rPr>
              <w:t>Frais bancaires, charges financières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620,00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590,00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550,00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</w:pPr>
            <w:r>
              <w:rPr>
                <w:b/>
                <w:color w:val="232323"/>
                <w:sz w:val="17"/>
              </w:rPr>
              <w:t>Dotations aux amortissements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3 800,00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3 800,00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3 800,00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  <w:top w:val="single" w:sz="8" w:color="7F7F7F"/>
              <w:bottom w:val="single" w:sz="8" w:color="7F7F7F"/>
            </w:tcBorders>
            <w:shd w:fill="EAF2F8"/>
          </w:tcPr>
          <w:p>
            <w:pPr>
              <w:spacing w:before="10" w:after="10"/>
            </w:pPr>
            <w:r>
              <w:rPr>
                <w:b/>
                <w:color w:val="232323"/>
                <w:sz w:val="17"/>
              </w:rPr>
              <w:t>Résultat avant impôts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  <w:top w:val="single" w:sz="8" w:color="7F7F7F"/>
              <w:bottom w:val="single" w:sz="8" w:color="7F7F7F"/>
            </w:tcBorders>
            <w:shd w:fill="EAF2F8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8 796,00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  <w:top w:val="single" w:sz="8" w:color="7F7F7F"/>
              <w:bottom w:val="single" w:sz="8" w:color="7F7F7F"/>
            </w:tcBorders>
            <w:shd w:fill="EAF2F8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10 488,00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  <w:top w:val="single" w:sz="8" w:color="7F7F7F"/>
              <w:bottom w:val="single" w:sz="8" w:color="7F7F7F"/>
            </w:tcBorders>
            <w:shd w:fill="EAF2F8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12 694,80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</w:pPr>
            <w:r>
              <w:rPr>
                <w:b/>
                <w:color w:val="232323"/>
                <w:sz w:val="17"/>
              </w:rPr>
              <w:t>Impôt sur les sociétés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1 319,40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1 573,20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  <w:shd w:fill="F3F6F9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7"/>
              </w:rPr>
              <w:t>1 904,22</w:t>
            </w:r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</w:tcBorders>
          </w:tcPr>
          <w:p>
            <w:r/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r/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r/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</w:tcBorders>
          </w:tcPr>
          <w:p>
            <w:r/>
          </w:p>
        </w:tc>
      </w:tr>
      <w:tr>
        <w:tc>
          <w:tcPr>
            <w:tcW w:type="dxa" w:w="8957"/>
            <w:vAlign w:val="center"/>
            <w:tcBorders>
              <w:left w:val="dotted" w:sz="4" w:color="A6A6A6"/>
              <w:right w:val="dotted" w:sz="4" w:color="A6A6A6"/>
              <w:top w:val="single" w:sz="8" w:color="7F7F7F"/>
              <w:bottom w:val="single" w:sz="8" w:color="7F7F7F"/>
            </w:tcBorders>
            <w:shd w:fill="D9EAD3"/>
          </w:tcPr>
          <w:p>
            <w:pPr>
              <w:spacing w:before="10" w:after="10"/>
            </w:pPr>
            <w:r>
              <w:rPr>
                <w:b/>
                <w:color w:val="232323"/>
                <w:sz w:val="18"/>
              </w:rPr>
              <w:t>Résultat net comptable (résultat de l'exercice)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  <w:top w:val="single" w:sz="8" w:color="7F7F7F"/>
              <w:bottom w:val="single" w:sz="8" w:color="7F7F7F"/>
            </w:tcBorders>
            <w:shd w:fill="D9EAD3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8"/>
              </w:rPr>
              <w:t>7 476,60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  <w:top w:val="single" w:sz="8" w:color="7F7F7F"/>
              <w:bottom w:val="single" w:sz="8" w:color="7F7F7F"/>
            </w:tcBorders>
            <w:shd w:fill="D9EAD3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8"/>
              </w:rPr>
              <w:t>8 914,80</w:t>
            </w:r>
          </w:p>
        </w:tc>
        <w:tc>
          <w:tcPr>
            <w:tcW w:type="dxa" w:w="2126"/>
            <w:vAlign w:val="center"/>
            <w:tcBorders>
              <w:left w:val="dotted" w:sz="4" w:color="A6A6A6"/>
              <w:right w:val="dotted" w:sz="4" w:color="A6A6A6"/>
              <w:top w:val="single" w:sz="8" w:color="7F7F7F"/>
              <w:bottom w:val="single" w:sz="8" w:color="7F7F7F"/>
            </w:tcBorders>
            <w:shd w:fill="D9EAD3"/>
          </w:tcPr>
          <w:p>
            <w:pPr>
              <w:spacing w:before="10" w:after="10"/>
              <w:jc w:val="right"/>
            </w:pPr>
            <w:r>
              <w:rPr>
                <w:b/>
                <w:color w:val="232323"/>
                <w:sz w:val="18"/>
              </w:rPr>
              <w:t>10 790,58</w:t>
            </w:r>
          </w:p>
        </w:tc>
      </w:tr>
    </w:tbl>
    <w:sectPr w:rsidR="00FC693F" w:rsidRPr="0006063C" w:rsidSect="00034616">
      <w:pgSz w:w="16838" w:h="11906" w:orient="landscape"/>
      <w:pgMar w:top="397" w:right="454" w:bottom="397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