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431"/>
      </w:tblGrid>
      <w:tr>
        <w:tc>
          <w:tcPr>
            <w:tcW w:type="dxa" w:w="10880"/>
            <w:shd w:fill="183B63"/>
            <w:tcBorders>
              <w:left w:val="single" w:sz="0" w:color="183B63"/>
              <w:top w:val="single" w:sz="0" w:color="183B63"/>
              <w:right w:val="single" w:sz="0" w:color="183B63"/>
              <w:bottom w:val="single" w:sz="0" w:color="183B63"/>
            </w:tcBorders>
            <w:tcMar>
              <w:top w:w="110" w:type="dxa"/>
              <w:start w:w="140" w:type="dxa"/>
              <w:bottom w:w="90" w:type="dxa"/>
              <w:end w:w="14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32"/>
              </w:rPr>
              <w:t>FICHE REFLEXE - GESTION DE CRISE</w:t>
            </w:r>
          </w:p>
          <w:p>
            <w:pPr>
              <w:jc w:val="center"/>
            </w:pPr>
            <w:r>
              <w:rPr>
                <w:rFonts w:ascii="Aptos" w:hAnsi="Aptos"/>
                <w:color w:val="DFE9F6"/>
                <w:sz w:val="19"/>
              </w:rPr>
              <w:t>Securite - Industrie - IT - Communication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721"/>
        <w:gridCol w:w="2608"/>
        <w:gridCol w:w="2608"/>
        <w:gridCol w:w="2494"/>
      </w:tblGrid>
      <w:tr>
        <w:tc>
          <w:tcPr>
            <w:tcW w:type="dxa" w:w="2720"/>
            <w:shd w:fill="F6F8FC"/>
            <w:tcMar>
              <w:top w:w="70" w:type="dxa"/>
              <w:start w:w="100" w:type="dxa"/>
              <w:bottom w:w="70" w:type="dxa"/>
              <w:end w:w="100" w:type="dxa"/>
            </w:tcMar>
            <w:vAlign w:val="center"/>
            <w:tcBorders>
              <w:left w:val="single" w:sz="6" w:color="D6DFEE"/>
              <w:top w:val="single" w:sz="6" w:color="D6DFEE"/>
              <w:right w:val="single" w:sz="6" w:color="D6DFEE"/>
              <w:bottom w:val="single" w:sz="6" w:color="D6DFEE"/>
            </w:tcBorders>
          </w:tcPr>
          <w:p>
            <w:r>
              <w:rPr>
                <w:rFonts w:ascii="Aptos" w:hAnsi="Aptos"/>
                <w:color w:val="334155"/>
                <w:sz w:val="16"/>
              </w:rPr>
              <w:t>Organisme : ........................</w:t>
            </w:r>
          </w:p>
        </w:tc>
        <w:tc>
          <w:tcPr>
            <w:tcW w:type="dxa" w:w="2720"/>
            <w:shd w:fill="F6F8FC"/>
            <w:tcMar>
              <w:top w:w="70" w:type="dxa"/>
              <w:start w:w="100" w:type="dxa"/>
              <w:bottom w:w="70" w:type="dxa"/>
              <w:end w:w="100" w:type="dxa"/>
            </w:tcMar>
            <w:vAlign w:val="center"/>
            <w:tcBorders>
              <w:left w:val="single" w:sz="6" w:color="D6DFEE"/>
              <w:top w:val="single" w:sz="6" w:color="D6DFEE"/>
              <w:right w:val="single" w:sz="6" w:color="D6DFEE"/>
              <w:bottom w:val="single" w:sz="6" w:color="D6DFEE"/>
            </w:tcBorders>
          </w:tcPr>
          <w:p>
            <w:r>
              <w:rPr>
                <w:rFonts w:ascii="Aptos" w:hAnsi="Aptos"/>
                <w:color w:val="334155"/>
                <w:sz w:val="16"/>
              </w:rPr>
              <w:t>Site / service : ....................</w:t>
            </w:r>
          </w:p>
        </w:tc>
        <w:tc>
          <w:tcPr>
            <w:tcW w:type="dxa" w:w="2720"/>
            <w:shd w:fill="F6F8FC"/>
            <w:tcMar>
              <w:top w:w="70" w:type="dxa"/>
              <w:start w:w="100" w:type="dxa"/>
              <w:bottom w:w="70" w:type="dxa"/>
              <w:end w:w="100" w:type="dxa"/>
            </w:tcMar>
            <w:vAlign w:val="center"/>
            <w:tcBorders>
              <w:left w:val="single" w:sz="6" w:color="D6DFEE"/>
              <w:top w:val="single" w:sz="6" w:color="D6DFEE"/>
              <w:right w:val="single" w:sz="6" w:color="D6DFEE"/>
              <w:bottom w:val="single" w:sz="6" w:color="D6DFEE"/>
            </w:tcBorders>
          </w:tcPr>
          <w:p>
            <w:r>
              <w:rPr>
                <w:rFonts w:ascii="Aptos" w:hAnsi="Aptos"/>
                <w:color w:val="334155"/>
                <w:sz w:val="16"/>
              </w:rPr>
              <w:t>Pilote crise : ......................</w:t>
            </w:r>
          </w:p>
        </w:tc>
        <w:tc>
          <w:tcPr>
            <w:tcW w:type="dxa" w:w="2720"/>
            <w:shd w:fill="F6F8FC"/>
            <w:tcMar>
              <w:top w:w="70" w:type="dxa"/>
              <w:start w:w="100" w:type="dxa"/>
              <w:bottom w:w="70" w:type="dxa"/>
              <w:end w:w="100" w:type="dxa"/>
            </w:tcMar>
            <w:vAlign w:val="center"/>
            <w:tcBorders>
              <w:left w:val="single" w:sz="6" w:color="D6DFEE"/>
              <w:top w:val="single" w:sz="6" w:color="D6DFEE"/>
              <w:right w:val="single" w:sz="6" w:color="D6DFEE"/>
              <w:bottom w:val="single" w:sz="6" w:color="D6DFEE"/>
            </w:tcBorders>
          </w:tcPr>
          <w:p>
            <w:r>
              <w:rPr>
                <w:rFonts w:ascii="Aptos" w:hAnsi="Aptos"/>
                <w:color w:val="334155"/>
                <w:sz w:val="16"/>
              </w:rPr>
              <w:t>Date MAJ : ........................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440"/>
            <w:tcBorders>
              <w:left w:val="single" w:sz="6" w:color="D6DFEE"/>
              <w:top w:val="single" w:sz="6" w:color="D6DFEE"/>
              <w:right w:val="single" w:sz="6" w:color="D6DFEE"/>
              <w:bottom w:val="single" w:sz="6" w:color="D6DFEE"/>
            </w:tcBorders>
            <w:tcMar>
              <w:top w:w="70" w:type="dxa"/>
              <w:start w:w="110" w:type="dxa"/>
              <w:bottom w:w="70" w:type="dxa"/>
              <w:end w:w="110" w:type="dxa"/>
            </w:tcMar>
            <w:shd w:fill="FFFFFF"/>
            <w:vAlign w:val="center"/>
          </w:tcPr>
          <w:p>
            <w:pPr>
              <w:spacing w:after="40"/>
            </w:pPr>
            <w:r>
              <w:rPr>
                <w:rFonts w:ascii="Aptos" w:hAnsi="Aptos"/>
                <w:b/>
                <w:color w:val="183B63"/>
                <w:sz w:val="18"/>
              </w:rPr>
              <w:t>1. DECLENCHEMENT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475569"/>
                <w:sz w:val="16"/>
              </w:rPr>
              <w:t>Cochez si la situation justifie l'activation :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risque humain / securite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arret de production / service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cyberattaque / panne critique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incident mediatique / fuite d'information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impact juridique, client ou image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b/>
                <w:color w:val="7A2E0B"/>
                <w:sz w:val="16"/>
              </w:rPr>
              <w:t>Activation immediate si gravite elevee ou impact multiple.</w:t>
            </w:r>
          </w:p>
        </w:tc>
        <w:tc>
          <w:tcPr>
            <w:tcW w:type="dxa" w:w="5440"/>
            <w:tcBorders>
              <w:left w:val="single" w:sz="6" w:color="D6DFEE"/>
              <w:top w:val="single" w:sz="6" w:color="D6DFEE"/>
              <w:right w:val="single" w:sz="6" w:color="D6DFEE"/>
              <w:bottom w:val="single" w:sz="6" w:color="D6DFEE"/>
            </w:tcBorders>
            <w:tcMar>
              <w:top w:w="70" w:type="dxa"/>
              <w:start w:w="110" w:type="dxa"/>
              <w:bottom w:w="70" w:type="dxa"/>
              <w:end w:w="110" w:type="dxa"/>
            </w:tcMar>
            <w:shd w:fill="FFFFFF"/>
            <w:vAlign w:val="center"/>
          </w:tcPr>
          <w:p>
            <w:pPr>
              <w:spacing w:after="40"/>
            </w:pPr>
            <w:r>
              <w:rPr>
                <w:rFonts w:ascii="Aptos" w:hAnsi="Aptos"/>
                <w:b/>
                <w:color w:val="183B63"/>
                <w:sz w:val="18"/>
              </w:rPr>
              <w:t>2. PREMIERES 15 MINUTES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proteger les personnes et alerter les secours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isoler la zone, l'equipement ou le systeme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stopper l'activite a risque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horodater les faits et conserver les preuves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remonter : quoi, ou, quand, qui, impact</w:t>
            </w:r>
          </w:p>
        </w:tc>
      </w:tr>
      <w:tr>
        <w:tc>
          <w:tcPr>
            <w:tcW w:type="dxa" w:w="5440"/>
            <w:tcBorders>
              <w:left w:val="single" w:sz="6" w:color="D6DFEE"/>
              <w:top w:val="single" w:sz="6" w:color="D6DFEE"/>
              <w:right w:val="single" w:sz="6" w:color="D6DFEE"/>
              <w:bottom w:val="single" w:sz="6" w:color="D6DFEE"/>
            </w:tcBorders>
            <w:tcMar>
              <w:top w:w="70" w:type="dxa"/>
              <w:start w:w="110" w:type="dxa"/>
              <w:bottom w:w="70" w:type="dxa"/>
              <w:end w:w="110" w:type="dxa"/>
            </w:tcMar>
            <w:shd w:fill="FFFFFF"/>
            <w:vAlign w:val="center"/>
          </w:tcPr>
          <w:p>
            <w:pPr>
              <w:spacing w:after="40"/>
            </w:pPr>
            <w:r>
              <w:rPr>
                <w:rFonts w:ascii="Aptos" w:hAnsi="Aptos"/>
                <w:b/>
                <w:color w:val="183B63"/>
                <w:sz w:val="18"/>
              </w:rPr>
              <w:t>3. CELLULE DE CRISE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Directeur de crise - decisions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Securite / HSE - maitrise des risques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IT / cyber - isolement et diagnostic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Operations - continuite d'activite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Communication - message interne / externe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Porte-parole unique designe sans delai.</w:t>
            </w:r>
          </w:p>
        </w:tc>
        <w:tc>
          <w:tcPr>
            <w:tcW w:type="dxa" w:w="5440"/>
            <w:tcBorders>
              <w:left w:val="single" w:sz="6" w:color="D6DFEE"/>
              <w:top w:val="single" w:sz="6" w:color="D6DFEE"/>
              <w:right w:val="single" w:sz="6" w:color="D6DFEE"/>
              <w:bottom w:val="single" w:sz="6" w:color="D6DFEE"/>
            </w:tcBorders>
            <w:tcMar>
              <w:top w:w="70" w:type="dxa"/>
              <w:start w:w="110" w:type="dxa"/>
              <w:bottom w:w="70" w:type="dxa"/>
              <w:end w:w="110" w:type="dxa"/>
            </w:tcMar>
            <w:shd w:fill="FFFFFF"/>
            <w:vAlign w:val="center"/>
          </w:tcPr>
          <w:p>
            <w:pPr>
              <w:spacing w:after="40"/>
            </w:pPr>
            <w:r>
              <w:rPr>
                <w:rFonts w:ascii="Aptos" w:hAnsi="Aptos"/>
                <w:b/>
                <w:color w:val="183B63"/>
                <w:sz w:val="18"/>
              </w:rPr>
              <w:t>4. REPONSE PAR TYPE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Securite : perimetre, assistance, autorites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Industrie : arret ligne, isolement, PCA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IT : coupe des acces, logs, sauvegardes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Communication : faits verifies, message court, veille medias</w:t>
            </w:r>
          </w:p>
        </w:tc>
      </w:tr>
      <w:tr>
        <w:tc>
          <w:tcPr>
            <w:tcW w:type="dxa" w:w="5440"/>
            <w:tcBorders>
              <w:left w:val="single" w:sz="6" w:color="D6DFEE"/>
              <w:top w:val="single" w:sz="6" w:color="D6DFEE"/>
              <w:right w:val="single" w:sz="6" w:color="D6DFEE"/>
              <w:bottom w:val="single" w:sz="6" w:color="D6DFEE"/>
            </w:tcBorders>
            <w:tcMar>
              <w:top w:w="70" w:type="dxa"/>
              <w:start w:w="110" w:type="dxa"/>
              <w:bottom w:w="70" w:type="dxa"/>
              <w:end w:w="110" w:type="dxa"/>
            </w:tcMar>
            <w:shd w:fill="FFFFFF"/>
            <w:vAlign w:val="center"/>
          </w:tcPr>
          <w:p>
            <w:pPr>
              <w:spacing w:after="40"/>
            </w:pPr>
            <w:r>
              <w:rPr>
                <w:rFonts w:ascii="Aptos" w:hAnsi="Aptos"/>
                <w:b/>
                <w:color w:val="183B63"/>
                <w:sz w:val="18"/>
              </w:rPr>
              <w:t>5. COMMUNICATION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Interne d'abord : direction, managers, equipes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Externe seulement avec validation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Message : faits, mesures prises, prochain point</w:t>
            </w:r>
          </w:p>
        </w:tc>
        <w:tc>
          <w:tcPr>
            <w:tcW w:type="dxa" w:w="5440"/>
            <w:tcBorders>
              <w:left w:val="single" w:sz="6" w:color="D6DFEE"/>
              <w:top w:val="single" w:sz="6" w:color="D6DFEE"/>
              <w:right w:val="single" w:sz="6" w:color="D6DFEE"/>
              <w:bottom w:val="single" w:sz="6" w:color="D6DFEE"/>
            </w:tcBorders>
            <w:tcMar>
              <w:top w:w="70" w:type="dxa"/>
              <w:start w:w="110" w:type="dxa"/>
              <w:bottom w:w="70" w:type="dxa"/>
              <w:end w:w="110" w:type="dxa"/>
            </w:tcMar>
            <w:shd w:fill="FFFFFF"/>
            <w:vAlign w:val="center"/>
          </w:tcPr>
          <w:p>
            <w:pPr>
              <w:spacing w:after="40"/>
            </w:pPr>
            <w:r>
              <w:rPr>
                <w:rFonts w:ascii="Aptos" w:hAnsi="Aptos"/>
                <w:b/>
                <w:color w:val="183B63"/>
                <w:sz w:val="18"/>
              </w:rPr>
              <w:t>6. STABILISATION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suivre les actions et responsables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actualiser la situation a heure fixe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color w:val="1F2937"/>
                <w:sz w:val="16"/>
              </w:rPr>
              <w:t>□ retour d'experience et mise a jour des procedures</w:t>
            </w:r>
          </w:p>
          <w:p>
            <w:pPr>
              <w:spacing w:before="0" w:after="0"/>
              <w:ind w:left="0"/>
            </w:pPr>
            <w:r>
              <w:rPr>
                <w:rFonts w:ascii="Aptos" w:hAnsi="Aptos"/>
                <w:b/>
                <w:color w:val="374151"/>
                <w:sz w:val="16"/>
              </w:rPr>
              <w:t>Regle d'or : proteger, stabiliser, decider, communiquer, tracer.</w:t>
            </w:r>
          </w:p>
        </w:tc>
      </w:tr>
    </w:tbl>
    <w:p>
      <w:pPr>
        <w:jc w:val="center"/>
      </w:pPr>
      <w:r>
        <w:rPr>
          <w:rFonts w:ascii="Aptos" w:hAnsi="Aptos"/>
          <w:i/>
          <w:color w:val="64748B"/>
          <w:sz w:val="16"/>
        </w:rPr>
        <w:t>Usage immediat - format one page pour salle de crise, atelier, DSI ou communication</w:t>
      </w:r>
    </w:p>
    <w:sectPr w:rsidR="00FC693F" w:rsidRPr="0006063C" w:rsidSect="00034616">
      <w:pgSz w:w="12240" w:h="15840"/>
      <w:pgMar w:top="624" w:right="680" w:bottom="56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