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spacing w:after="40"/>
        <w:jc w:val="center"/>
        <w:shd w:fill="0F4C81"/>
      </w:pPr>
      <w:r>
        <w:rPr>
          <w:rFonts w:ascii="Arial" w:hAnsi="Arial"/>
          <w:b/>
          <w:color w:val="FFFFFF"/>
          <w:sz w:val="32"/>
        </w:rPr>
        <w:t>FICHE RÉFLEXE</w:t>
      </w:r>
    </w:p>
    <w:p>
      <w:pPr>
        <w:spacing w:after="40"/>
        <w:jc w:val="center"/>
      </w:pPr>
      <w:r>
        <w:rPr>
          <w:b/>
          <w:color w:val="1F2937"/>
          <w:sz w:val="21"/>
        </w:rPr>
        <w:t>Cybermalveillance – Réagir vite, protéger les accès, limiter la propagation</w:t>
      </w: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  <w:tblBorders>
          <w:top w:val="single" w:sz="6" w:space="0" w:color="D1D5DB"/>
          <w:left w:val="single" w:sz="6" w:space="0" w:color="D1D5DB"/>
          <w:bottom w:val="single" w:sz="6" w:space="0" w:color="D1D5DB"/>
          <w:right w:val="single" w:sz="6" w:space="0" w:color="D1D5DB"/>
          <w:insideH w:val="single" w:sz="6" w:space="0" w:color="D1D5DB"/>
          <w:insideV w:val="single" w:sz="6" w:space="0" w:color="D1D5DB"/>
        </w:tblBorders>
      </w:tblPr>
      <w:tblGrid>
        <w:gridCol w:w="2636"/>
        <w:gridCol w:w="2636"/>
        <w:gridCol w:w="2636"/>
        <w:gridCol w:w="2636"/>
      </w:tblGrid>
      <w:tr>
        <w:tc>
          <w:tcPr>
            <w:tcW w:type="dxa" w:w="1417"/>
            <w:tcMar>
              <w:top w:w="80" w:type="dxa"/>
              <w:start w:w="90" w:type="dxa"/>
              <w:bottom w:w="80" w:type="dxa"/>
              <w:end w:w="90" w:type="dxa"/>
            </w:tcMar>
            <w:vAlign w:val="center"/>
            <w:shd w:fill="EAF2F8"/>
          </w:tcPr>
          <w:p>
            <w:pPr>
              <w:spacing w:after="0"/>
            </w:pPr>
            <w:r>
              <w:rPr>
                <w:b/>
              </w:rPr>
              <w:t>Organisation</w:t>
            </w:r>
          </w:p>
        </w:tc>
        <w:tc>
          <w:tcPr>
            <w:tcW w:type="dxa" w:w="3515"/>
            <w:tcMar>
              <w:top w:w="80" w:type="dxa"/>
              <w:start w:w="90" w:type="dxa"/>
              <w:bottom w:w="80" w:type="dxa"/>
              <w:end w:w="90" w:type="dxa"/>
            </w:tcMar>
            <w:vAlign w:val="center"/>
          </w:tcPr>
          <w:p>
            <w:pPr>
              <w:spacing w:after="0"/>
            </w:pPr>
            <w:r>
              <w:t>........................................</w:t>
            </w:r>
          </w:p>
        </w:tc>
        <w:tc>
          <w:tcPr>
            <w:tcW w:type="dxa" w:w="1871"/>
            <w:tcMar>
              <w:top w:w="80" w:type="dxa"/>
              <w:start w:w="90" w:type="dxa"/>
              <w:bottom w:w="80" w:type="dxa"/>
              <w:end w:w="90" w:type="dxa"/>
            </w:tcMar>
            <w:vAlign w:val="center"/>
            <w:shd w:fill="EAF2F8"/>
          </w:tcPr>
          <w:p>
            <w:pPr>
              <w:spacing w:after="0"/>
            </w:pPr>
            <w:r>
              <w:rPr>
                <w:b/>
              </w:rPr>
              <w:t>Responsable SI</w:t>
            </w:r>
          </w:p>
        </w:tc>
        <w:tc>
          <w:tcPr>
            <w:tcW w:type="dxa" w:w="3515"/>
            <w:tcMar>
              <w:top w:w="80" w:type="dxa"/>
              <w:start w:w="90" w:type="dxa"/>
              <w:bottom w:w="80" w:type="dxa"/>
              <w:end w:w="90" w:type="dxa"/>
            </w:tcMar>
            <w:vAlign w:val="center"/>
          </w:tcPr>
          <w:p>
            <w:pPr>
              <w:spacing w:after="0"/>
            </w:pPr>
            <w:r>
              <w:t>........................................</w:t>
            </w:r>
          </w:p>
        </w:tc>
      </w:tr>
      <w:tr>
        <w:tc>
          <w:tcPr>
            <w:tcW w:type="dxa" w:w="1417"/>
            <w:tcMar>
              <w:top w:w="80" w:type="dxa"/>
              <w:start w:w="90" w:type="dxa"/>
              <w:bottom w:w="80" w:type="dxa"/>
              <w:end w:w="90" w:type="dxa"/>
            </w:tcMar>
            <w:vAlign w:val="center"/>
            <w:shd w:fill="EAF2F8"/>
          </w:tcPr>
          <w:p>
            <w:pPr>
              <w:spacing w:after="0"/>
            </w:pPr>
            <w:r>
              <w:rPr>
                <w:b/>
              </w:rPr>
              <w:t>Service / Site</w:t>
            </w:r>
          </w:p>
        </w:tc>
        <w:tc>
          <w:tcPr>
            <w:tcW w:type="dxa" w:w="3515"/>
            <w:tcMar>
              <w:top w:w="80" w:type="dxa"/>
              <w:start w:w="90" w:type="dxa"/>
              <w:bottom w:w="80" w:type="dxa"/>
              <w:end w:w="90" w:type="dxa"/>
            </w:tcMar>
            <w:vAlign w:val="center"/>
          </w:tcPr>
          <w:p>
            <w:pPr>
              <w:spacing w:after="0"/>
            </w:pPr>
            <w:r>
              <w:t>........................................</w:t>
            </w:r>
          </w:p>
        </w:tc>
        <w:tc>
          <w:tcPr>
            <w:tcW w:type="dxa" w:w="1871"/>
            <w:tcMar>
              <w:top w:w="80" w:type="dxa"/>
              <w:start w:w="90" w:type="dxa"/>
              <w:bottom w:w="80" w:type="dxa"/>
              <w:end w:w="90" w:type="dxa"/>
            </w:tcMar>
            <w:vAlign w:val="center"/>
            <w:shd w:fill="EAF2F8"/>
          </w:tcPr>
          <w:p>
            <w:pPr>
              <w:spacing w:after="0"/>
            </w:pPr>
            <w:r>
              <w:rPr>
                <w:b/>
              </w:rPr>
              <w:t>Date MAJ</w:t>
            </w:r>
          </w:p>
        </w:tc>
        <w:tc>
          <w:tcPr>
            <w:tcW w:type="dxa" w:w="3515"/>
            <w:tcMar>
              <w:top w:w="80" w:type="dxa"/>
              <w:start w:w="90" w:type="dxa"/>
              <w:bottom w:w="80" w:type="dxa"/>
              <w:end w:w="90" w:type="dxa"/>
            </w:tcMar>
            <w:vAlign w:val="center"/>
          </w:tcPr>
          <w:p>
            <w:pPr>
              <w:spacing w:after="0"/>
            </w:pPr>
            <w:r>
              <w:t>........................................</w:t>
            </w:r>
          </w:p>
        </w:tc>
      </w:tr>
    </w:tbl>
    <w:tbl>
      <w:tblPr>
        <w:tblW w:type="auto" w:w="0"/>
        <w:jc w:val="center"/>
        <w:tblLayout w:type="fixed"/>
        <w:tblLook w:firstColumn="1" w:firstRow="1" w:lastColumn="0" w:lastRow="0" w:noHBand="0" w:noVBand="1" w:val="04A0"/>
        <w:tblBorders>
          <w:top w:val="single" w:sz="6" w:space="0" w:color="D1D5DB"/>
          <w:left w:val="single" w:sz="6" w:space="0" w:color="D1D5DB"/>
          <w:bottom w:val="single" w:sz="6" w:space="0" w:color="D1D5DB"/>
          <w:right w:val="single" w:sz="6" w:space="0" w:color="D1D5DB"/>
          <w:insideH w:val="single" w:sz="6" w:space="0" w:color="D1D5DB"/>
          <w:insideV w:val="single" w:sz="6" w:space="0" w:color="D1D5DB"/>
        </w:tblBorders>
      </w:tblPr>
      <w:tblGrid>
        <w:gridCol w:w="5102"/>
        <w:gridCol w:w="5102"/>
      </w:tblGrid>
      <w:tr>
        <w:tc>
          <w:tcPr>
            <w:tcW w:type="dxa" w:w="5273"/>
            <w:tcMar>
              <w:top w:w="50" w:type="dxa"/>
              <w:start w:w="70" w:type="dxa"/>
              <w:bottom w:w="50" w:type="dxa"/>
              <w:end w:w="70" w:type="dxa"/>
            </w:tcMar>
          </w:tcPr>
          <w:p/>
          <w:p>
            <w:pPr>
              <w:spacing w:before="60" w:after="40"/>
              <w:shd w:fill="DCEAF7"/>
            </w:pPr>
            <w:r>
              <w:rPr>
                <w:b/>
                <w:color w:val="0F4C81"/>
                <w:sz w:val="20"/>
              </w:rPr>
              <w:t>1. Signes d’alerte</w:t>
            </w:r>
          </w:p>
          <w:p>
            <w:pPr>
              <w:ind w:left="57"/>
            </w:pPr>
            <w:r>
              <w:t>☐ Message de rançon, fichiers chiffrés, extensions inhabituelles</w:t>
            </w:r>
          </w:p>
          <w:p>
            <w:pPr>
              <w:ind w:left="57"/>
            </w:pPr>
            <w:r>
              <w:t>☐ Connexion impossible, lenteur soudaine, poste bloqué ou instable</w:t>
            </w:r>
          </w:p>
          <w:p>
            <w:pPr>
              <w:ind w:left="57"/>
            </w:pPr>
            <w:r>
              <w:t>☐ Emails envoyés sans action de l’utilisateur</w:t>
            </w:r>
          </w:p>
          <w:p>
            <w:pPr>
              <w:ind w:left="57"/>
            </w:pPr>
            <w:r>
              <w:t>☐ Activité suspecte sur un compte, droits modifiés, accès inconnus</w:t>
            </w:r>
          </w:p>
          <w:p>
            <w:pPr>
              <w:ind w:left="57"/>
            </w:pPr>
            <w:r>
              <w:t>☐ Alerte antivirus / EDR / pare-feu ou détection d’intrusion</w:t>
            </w:r>
          </w:p>
          <w:p>
            <w:pPr>
              <w:spacing w:before="60" w:after="40"/>
              <w:shd w:fill="DCEAF7"/>
            </w:pPr>
            <w:r>
              <w:rPr>
                <w:b/>
                <w:color w:val="0F4C81"/>
                <w:sz w:val="20"/>
              </w:rPr>
              <w:t>2. Réflexes immédiats – 10 premières minutes</w:t>
            </w:r>
          </w:p>
          <w:p>
            <w:pPr>
              <w:ind w:left="57"/>
            </w:pPr>
            <w:r>
              <w:t>☐ Déconnecter le poste ou le serveur du réseau</w:t>
            </w:r>
          </w:p>
          <w:p>
            <w:pPr>
              <w:ind w:left="57"/>
            </w:pPr>
            <w:r>
              <w:t>☐ Couper le Wi‑Fi, retirer le câble, bloquer l’accès distant</w:t>
            </w:r>
          </w:p>
          <w:p>
            <w:pPr>
              <w:ind w:left="57"/>
            </w:pPr>
            <w:r>
              <w:t>☐ Ne rien supprimer et éviter tout redémarrage</w:t>
            </w:r>
          </w:p>
          <w:p>
            <w:pPr>
              <w:ind w:left="57"/>
            </w:pPr>
            <w:r>
              <w:t>☐ Prévenir sans délai le référent IT / RSSI / prestataire</w:t>
            </w:r>
          </w:p>
          <w:p>
            <w:pPr>
              <w:ind w:left="57"/>
            </w:pPr>
            <w:r>
              <w:t>☐ Noter l’heure, l’utilisateur concerné et les premiers symptômes</w:t>
            </w:r>
          </w:p>
          <w:p>
            <w:pPr>
              <w:spacing w:before="60" w:after="40"/>
              <w:shd w:fill="DCEAF7"/>
            </w:pPr>
            <w:r>
              <w:rPr>
                <w:b/>
                <w:color w:val="0F4C81"/>
                <w:sz w:val="20"/>
              </w:rPr>
              <w:t>3. Ce qu’il faut éviter</w:t>
            </w:r>
          </w:p>
          <w:p>
            <w:pPr>
              <w:ind w:left="57"/>
            </w:pPr>
            <w:r>
              <w:t>✖ Payer une rançon ou répondre au pirate</w:t>
            </w:r>
          </w:p>
          <w:p>
            <w:pPr>
              <w:ind w:left="57"/>
            </w:pPr>
            <w:r>
              <w:t>✖ Brancher une clé USB ou copier des fichiers au hasard</w:t>
            </w:r>
          </w:p>
          <w:p>
            <w:pPr>
              <w:ind w:left="57"/>
            </w:pPr>
            <w:r>
              <w:t>✖ Communiquer des informations non vérifiées</w:t>
            </w:r>
          </w:p>
          <w:p>
            <w:pPr>
              <w:ind w:left="57"/>
            </w:pPr>
            <w:r>
              <w:t>✖ Réutiliser un mot de passe potentiellement compromis</w:t>
            </w:r>
          </w:p>
        </w:tc>
        <w:tc>
          <w:tcPr>
            <w:tcW w:type="dxa" w:w="5273"/>
            <w:tcMar>
              <w:top w:w="50" w:type="dxa"/>
              <w:start w:w="70" w:type="dxa"/>
              <w:bottom w:w="50" w:type="dxa"/>
              <w:end w:w="70" w:type="dxa"/>
            </w:tcMar>
          </w:tcPr>
          <w:p/>
          <w:p>
            <w:pPr>
              <w:spacing w:before="60" w:after="40"/>
              <w:shd w:fill="DCEAF7"/>
            </w:pPr>
            <w:r>
              <w:rPr>
                <w:b/>
                <w:color w:val="0F4C81"/>
                <w:sz w:val="20"/>
              </w:rPr>
              <w:t>4. Coordination de crise</w:t>
            </w: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Borders>
                <w:top w:val="single" w:sz="6" w:space="0" w:color="D1D5DB"/>
                <w:left w:val="single" w:sz="6" w:space="0" w:color="D1D5DB"/>
                <w:bottom w:val="single" w:sz="6" w:space="0" w:color="D1D5DB"/>
                <w:right w:val="single" w:sz="6" w:space="0" w:color="D1D5DB"/>
                <w:insideH w:val="single" w:sz="6" w:space="0" w:color="D1D5DB"/>
                <w:insideV w:val="single" w:sz="6" w:space="0" w:color="D1D5DB"/>
              </w:tblBorders>
            </w:tblPr>
            <w:tblGrid>
              <w:gridCol w:w="1871"/>
              <w:gridCol w:w="3118"/>
            </w:tblGrid>
            <w:tr>
              <w:tc>
                <w:tcPr>
                  <w:tcW w:type="dxa" w:w="2636"/>
                  <w:tcMar>
                    <w:top w:w="70" w:type="dxa"/>
                    <w:start w:w="80" w:type="dxa"/>
                    <w:bottom w:w="70" w:type="dxa"/>
                    <w:end w:w="80" w:type="dxa"/>
                  </w:tcMar>
                  <w:vAlign w:val="center"/>
                  <w:shd w:fill="EAF2F8"/>
                </w:tcPr>
                <w:p>
                  <w:r>
                    <w:t>Responsable IT</w:t>
                  </w:r>
                </w:p>
              </w:tc>
              <w:tc>
                <w:tcPr>
                  <w:tcW w:type="dxa" w:w="2636"/>
                  <w:tcMar>
                    <w:top w:w="70" w:type="dxa"/>
                    <w:start w:w="80" w:type="dxa"/>
                    <w:bottom w:w="70" w:type="dxa"/>
                    <w:end w:w="80" w:type="dxa"/>
                  </w:tcMar>
                  <w:vAlign w:val="center"/>
                </w:tcPr>
                <w:p>
                  <w:r>
                    <w:t>................................</w:t>
                  </w:r>
                </w:p>
              </w:tc>
            </w:tr>
            <w:tr>
              <w:tc>
                <w:tcPr>
                  <w:tcW w:type="dxa" w:w="2636"/>
                  <w:tcMar>
                    <w:top w:w="70" w:type="dxa"/>
                    <w:start w:w="80" w:type="dxa"/>
                    <w:bottom w:w="70" w:type="dxa"/>
                    <w:end w:w="80" w:type="dxa"/>
                  </w:tcMar>
                  <w:vAlign w:val="center"/>
                  <w:shd w:fill="EAF2F8"/>
                </w:tcPr>
                <w:p>
                  <w:r>
                    <w:t>Référent cyber</w:t>
                  </w:r>
                </w:p>
              </w:tc>
              <w:tc>
                <w:tcPr>
                  <w:tcW w:type="dxa" w:w="2636"/>
                  <w:tcMar>
                    <w:top w:w="70" w:type="dxa"/>
                    <w:start w:w="80" w:type="dxa"/>
                    <w:bottom w:w="70" w:type="dxa"/>
                    <w:end w:w="80" w:type="dxa"/>
                  </w:tcMar>
                  <w:vAlign w:val="center"/>
                </w:tcPr>
                <w:p>
                  <w:r>
                    <w:t>................................</w:t>
                  </w:r>
                </w:p>
              </w:tc>
            </w:tr>
            <w:tr>
              <w:tc>
                <w:tcPr>
                  <w:tcW w:type="dxa" w:w="2636"/>
                  <w:tcMar>
                    <w:top w:w="70" w:type="dxa"/>
                    <w:start w:w="80" w:type="dxa"/>
                    <w:bottom w:w="70" w:type="dxa"/>
                    <w:end w:w="80" w:type="dxa"/>
                  </w:tcMar>
                  <w:vAlign w:val="center"/>
                  <w:shd w:fill="EAF2F8"/>
                </w:tcPr>
                <w:p>
                  <w:r>
                    <w:t>Direction</w:t>
                  </w:r>
                </w:p>
              </w:tc>
              <w:tc>
                <w:tcPr>
                  <w:tcW w:type="dxa" w:w="2636"/>
                  <w:tcMar>
                    <w:top w:w="70" w:type="dxa"/>
                    <w:start w:w="80" w:type="dxa"/>
                    <w:bottom w:w="70" w:type="dxa"/>
                    <w:end w:w="80" w:type="dxa"/>
                  </w:tcMar>
                  <w:vAlign w:val="center"/>
                </w:tcPr>
                <w:p>
                  <w:r>
                    <w:t>................................</w:t>
                  </w:r>
                </w:p>
              </w:tc>
            </w:tr>
            <w:tr>
              <w:tc>
                <w:tcPr>
                  <w:tcW w:type="dxa" w:w="2636"/>
                  <w:tcMar>
                    <w:top w:w="70" w:type="dxa"/>
                    <w:start w:w="80" w:type="dxa"/>
                    <w:bottom w:w="70" w:type="dxa"/>
                    <w:end w:w="80" w:type="dxa"/>
                  </w:tcMar>
                  <w:vAlign w:val="center"/>
                  <w:shd w:fill="EAF2F8"/>
                </w:tcPr>
                <w:p>
                  <w:r>
                    <w:t>Prestataire</w:t>
                  </w:r>
                </w:p>
              </w:tc>
              <w:tc>
                <w:tcPr>
                  <w:tcW w:type="dxa" w:w="2636"/>
                  <w:tcMar>
                    <w:top w:w="70" w:type="dxa"/>
                    <w:start w:w="80" w:type="dxa"/>
                    <w:bottom w:w="70" w:type="dxa"/>
                    <w:end w:w="80" w:type="dxa"/>
                  </w:tcMar>
                  <w:vAlign w:val="center"/>
                </w:tcPr>
                <w:p>
                  <w:r>
                    <w:t>................................</w:t>
                  </w:r>
                </w:p>
              </w:tc>
            </w:tr>
          </w:tbl>
          <w:p/>
          <w:p>
            <w:pPr>
              <w:spacing w:before="60" w:after="40"/>
              <w:shd w:fill="DCEAF7"/>
            </w:pPr>
            <w:r>
              <w:rPr>
                <w:b/>
                <w:color w:val="0F4C81"/>
                <w:sz w:val="20"/>
              </w:rPr>
              <w:t>5. Mesures de confinement</w:t>
            </w:r>
          </w:p>
          <w:p>
            <w:pPr>
              <w:ind w:left="57"/>
            </w:pPr>
            <w:r>
              <w:t>☐ Isoler les comptes compromis et imposer la réinitialisation des mots de passe</w:t>
            </w:r>
          </w:p>
          <w:p>
            <w:pPr>
              <w:ind w:left="57"/>
            </w:pPr>
            <w:r>
              <w:t>☐ Bloquer les équipements ou sessions touchés</w:t>
            </w:r>
          </w:p>
          <w:p>
            <w:pPr>
              <w:ind w:left="57"/>
            </w:pPr>
            <w:r>
              <w:t>☐ Préserver les journaux, captures d’écran et preuves techniques</w:t>
            </w:r>
          </w:p>
          <w:p>
            <w:pPr>
              <w:ind w:left="57"/>
            </w:pPr>
            <w:r>
              <w:t>☐ Vérifier les sauvegardes disponibles et l’étendue de la propagation</w:t>
            </w:r>
          </w:p>
          <w:p>
            <w:pPr>
              <w:spacing w:before="60" w:after="40"/>
              <w:shd w:fill="DCEAF7"/>
            </w:pPr>
            <w:r>
              <w:rPr>
                <w:b/>
                <w:color w:val="0F4C81"/>
                <w:sz w:val="20"/>
              </w:rPr>
              <w:t>6. Communication et reprise</w:t>
            </w:r>
          </w:p>
          <w:p>
            <w:pPr>
              <w:ind w:left="57"/>
            </w:pPr>
            <w:r>
              <w:t>☐ Informer uniquement les personnes concernées avec un message factuel</w:t>
            </w:r>
          </w:p>
          <w:p>
            <w:pPr>
              <w:ind w:left="57"/>
            </w:pPr>
            <w:r>
              <w:t>☐ Signaler l’incident selon les procédures internes et réglementaires</w:t>
            </w:r>
          </w:p>
          <w:p>
            <w:pPr>
              <w:ind w:left="57"/>
            </w:pPr>
            <w:r>
              <w:t>☐ Réaliser un retour d’expérience après stabilisation</w:t>
            </w:r>
          </w:p>
          <w:p>
            <w:pPr>
              <w:ind w:left="57"/>
            </w:pPr>
            <w:r>
              <w:t>☐ Mettre à jour les mesures de sécurité et sensibiliser les équipes</w:t>
            </w:r>
          </w:p>
        </w:tc>
      </w:tr>
    </w:tbl>
    <w:p>
      <w:pPr>
        <w:spacing w:before="60" w:after="20"/>
        <w:shd w:fill="FFF4D6"/>
      </w:pPr>
      <w:r>
        <w:rPr>
          <w:b/>
          <w:sz w:val="18"/>
        </w:rPr>
        <w:t>Mémo essentiel : isoler • alerter • conserver les preuves • centraliser la communication • restaurer avec méthode</w:t>
      </w:r>
    </w:p>
    <w:sectPr w:rsidR="00FC693F" w:rsidRPr="0006063C" w:rsidSect="00034616">
      <w:pgSz w:w="11906" w:h="16838"/>
      <w:pgMar w:top="624" w:right="680" w:bottom="624" w:left="6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pPr>
      <w:spacing w:after="0" w:before="0" w:line="252" w:lineRule="auto"/>
    </w:pPr>
    <w:rPr>
      <w:rFonts w:ascii="Arial" w:hAnsi="Arial"/>
      <w:sz w:val="18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