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color w:val="003366"/>
          <w:sz w:val="52"/>
        </w:rPr>
        <w:t>PROJET PROFESSIONNEL INFIRMIER</w:t>
      </w:r>
    </w:p>
    <w:p>
      <w:pPr>
        <w:jc w:val="center"/>
      </w:pPr>
      <w:r>
        <w:rPr>
          <w:i/>
          <w:color w:val="787878"/>
          <w:sz w:val="22"/>
        </w:rPr>
        <w:t>Dossier stratégique complet – Orientation, compétences et projection</w:t>
      </w:r>
    </w:p>
    <w:p/>
    <w:tbl>
      <w:tblPr>
        <w:tblW w:type="auto" w:w="0"/>
        <w:tblLook w:firstColumn="1" w:firstRow="1" w:lastColumn="0" w:lastRow="0" w:noHBand="0" w:noVBand="1" w:val="04A0"/>
      </w:tblPr>
      <w:tblGrid>
        <w:gridCol w:w="4320"/>
        <w:gridCol w:w="4320"/>
      </w:tblGrid>
      <w:tr>
        <w:tc>
          <w:tcPr>
            <w:tcW w:type="dxa" w:w="4320"/>
            <w:shd w:fill="083763"/>
          </w:tcPr>
          <w:p>
            <w:r>
              <w:t>PROFIL</w:t>
              <w:br/>
              <w:br/>
              <w:t>✔ Motivation</w:t>
              <w:br/>
              <w:t>✔ Valeurs</w:t>
              <w:br/>
              <w:t>✔ Objectifs</w:t>
              <w:br/>
              <w:t>✔ Engagement</w:t>
            </w:r>
          </w:p>
        </w:tc>
        <w:tc>
          <w:tcPr>
            <w:tcW w:type="dxa" w:w="4320"/>
          </w:tcPr>
          <w:p>
            <w:r>
              <w:rPr>
                <w:b/>
              </w:rPr>
              <w:t>1. Positionnement professionnel</w:t>
              <w:br/>
            </w:r>
            <w:r>
              <w:t>Ce projet professionnel s’inscrit dans une démarche réfléchie et progressive, orientée vers le métier d’infirmier. Il repose sur une volonté affirmée d’intégrer un secteur où l’exigence technique se conjugue avec une forte dimension humaine.</w:t>
              <w:br/>
              <w:br/>
            </w:r>
          </w:p>
        </w:tc>
      </w:tr>
    </w:tbl>
    <w:p/>
    <w:p>
      <w:r>
        <w:rPr>
          <w:b/>
        </w:rPr>
        <w:t>2. Motivation approfondie</w:t>
      </w:r>
    </w:p>
    <w:p>
      <w:r>
        <w:t>L’orientation vers les soins infirmiers découle d’un intérêt constant pour l’accompagnement des patients, la gestion des situations complexes et le travail en environnement médical structuré. Ce choix s’appuie sur des valeurs solides telles que l’empathie, la rigueur et le sens des responsabilités.</w:t>
      </w:r>
    </w:p>
    <w:p/>
    <w:p>
      <w:r>
        <w:rPr>
          <w:b/>
        </w:rPr>
        <w:t>3. Analyse des compétences</w:t>
      </w:r>
    </w:p>
    <w:tbl>
      <w:tblPr>
        <w:tblW w:type="auto" w:w="0"/>
        <w:tblLook w:firstColumn="1" w:firstRow="1" w:lastColumn="0" w:lastRow="0" w:noHBand="0" w:noVBand="1" w:val="04A0"/>
      </w:tblPr>
      <w:tblGrid>
        <w:gridCol w:w="2880"/>
        <w:gridCol w:w="2880"/>
        <w:gridCol w:w="2880"/>
      </w:tblGrid>
      <w:tr>
        <w:tc>
          <w:tcPr>
            <w:tcW w:type="dxa" w:w="2880"/>
          </w:tcPr>
          <w:p>
            <w:r>
              <w:t>Compétence</w:t>
            </w:r>
          </w:p>
        </w:tc>
        <w:tc>
          <w:tcPr>
            <w:tcW w:type="dxa" w:w="2880"/>
          </w:tcPr>
          <w:p>
            <w:r>
              <w:t>Niveau actuel</w:t>
            </w:r>
          </w:p>
        </w:tc>
        <w:tc>
          <w:tcPr>
            <w:tcW w:type="dxa" w:w="2880"/>
          </w:tcPr>
          <w:p>
            <w:r>
              <w:t>Objectif</w:t>
            </w:r>
          </w:p>
        </w:tc>
      </w:tr>
      <w:tr>
        <w:tc>
          <w:tcPr>
            <w:tcW w:type="dxa" w:w="2880"/>
          </w:tcPr>
          <w:p>
            <w:r>
              <w:t>Communication patient</w:t>
            </w:r>
          </w:p>
        </w:tc>
        <w:tc>
          <w:tcPr>
            <w:tcW w:type="dxa" w:w="2880"/>
          </w:tcPr>
          <w:p>
            <w:r>
              <w:t>Bon</w:t>
            </w:r>
          </w:p>
        </w:tc>
        <w:tc>
          <w:tcPr>
            <w:tcW w:type="dxa" w:w="2880"/>
          </w:tcPr>
          <w:p>
            <w:r>
              <w:t>Excellence relationnelle</w:t>
            </w:r>
          </w:p>
        </w:tc>
      </w:tr>
      <w:tr>
        <w:tc>
          <w:tcPr>
            <w:tcW w:type="dxa" w:w="2880"/>
          </w:tcPr>
          <w:p>
            <w:r>
              <w:t>Organisation</w:t>
            </w:r>
          </w:p>
        </w:tc>
        <w:tc>
          <w:tcPr>
            <w:tcW w:type="dxa" w:w="2880"/>
          </w:tcPr>
          <w:p>
            <w:r>
              <w:t>Moyen</w:t>
            </w:r>
          </w:p>
        </w:tc>
        <w:tc>
          <w:tcPr>
            <w:tcW w:type="dxa" w:w="2880"/>
          </w:tcPr>
          <w:p>
            <w:r>
              <w:t>Optimisation</w:t>
            </w:r>
          </w:p>
        </w:tc>
      </w:tr>
      <w:tr>
        <w:tc>
          <w:tcPr>
            <w:tcW w:type="dxa" w:w="2880"/>
          </w:tcPr>
          <w:p>
            <w:r>
              <w:t>Gestion du stress</w:t>
            </w:r>
          </w:p>
        </w:tc>
        <w:tc>
          <w:tcPr>
            <w:tcW w:type="dxa" w:w="2880"/>
          </w:tcPr>
          <w:p>
            <w:r>
              <w:t>Moyen</w:t>
            </w:r>
          </w:p>
        </w:tc>
        <w:tc>
          <w:tcPr>
            <w:tcW w:type="dxa" w:w="2880"/>
          </w:tcPr>
          <w:p>
            <w:r>
              <w:t>Maîtrise complète</w:t>
            </w:r>
          </w:p>
        </w:tc>
      </w:tr>
      <w:tr>
        <w:tc>
          <w:tcPr>
            <w:tcW w:type="dxa" w:w="2880"/>
          </w:tcPr>
          <w:p>
            <w:r>
              <w:t>Travail en équipe</w:t>
            </w:r>
          </w:p>
        </w:tc>
        <w:tc>
          <w:tcPr>
            <w:tcW w:type="dxa" w:w="2880"/>
          </w:tcPr>
          <w:p>
            <w:r>
              <w:t>Bon</w:t>
            </w:r>
          </w:p>
        </w:tc>
        <w:tc>
          <w:tcPr>
            <w:tcW w:type="dxa" w:w="2880"/>
          </w:tcPr>
          <w:p>
            <w:r>
              <w:t>Leadership collaboratif</w:t>
            </w:r>
          </w:p>
        </w:tc>
      </w:tr>
      <w:tr>
        <w:tc>
          <w:tcPr>
            <w:tcW w:type="dxa" w:w="2880"/>
          </w:tcPr>
          <w:p>
            <w:r>
              <w:t>Rigueur</w:t>
            </w:r>
          </w:p>
        </w:tc>
        <w:tc>
          <w:tcPr>
            <w:tcW w:type="dxa" w:w="2880"/>
          </w:tcPr>
          <w:p>
            <w:r>
              <w:t>Bon</w:t>
            </w:r>
          </w:p>
        </w:tc>
        <w:tc>
          <w:tcPr>
            <w:tcW w:type="dxa" w:w="2880"/>
          </w:tcPr>
          <w:p>
            <w:r>
              <w:t>Standard professionnel élevé</w:t>
            </w:r>
          </w:p>
        </w:tc>
      </w:tr>
    </w:tbl>
    <w:p/>
    <w:p>
      <w:r>
        <w:rPr>
          <w:b/>
        </w:rPr>
        <w:t>4. Plan de carrière détaillé</w:t>
      </w:r>
    </w:p>
    <w:p>
      <w:r>
        <w:t>Court terme : Intégration en institut de formation en soins infirmiers et acquisition des bases théoriques.</w:t>
        <w:br/>
        <w:t>Moyen terme : Développement des compétences cliniques en milieu hospitalier.</w:t>
        <w:br/>
        <w:t>Long terme : Spécialisation (urgence, réanimation, pédiatrie) et évolution vers des responsabilités accrues.</w:t>
      </w:r>
    </w:p>
    <w:p/>
    <w:p>
      <w:r>
        <w:rPr>
          <w:b/>
        </w:rPr>
        <w:t>5. Points forts du candidat</w:t>
      </w:r>
    </w:p>
    <w:p>
      <w:r>
        <w:t>• Capacité d’adaptation rapide</w:t>
        <w:br/>
        <w:t>• Sens des priorités</w:t>
        <w:br/>
        <w:t>• Engagement constant</w:t>
        <w:br/>
        <w:t>• Capacité d’apprentissage continue</w:t>
      </w:r>
    </w:p>
    <w:p/>
    <w:p>
      <w:r>
        <w:rPr>
          <w:b/>
        </w:rPr>
        <w:t>6. Valeurs professionnelles</w:t>
      </w:r>
    </w:p>
    <w:p>
      <w:r>
        <w:t>Le projet repose sur le respect de l’éthique médicale, la confidentialité, la bienveillance et le professionnalisme.</w:t>
      </w:r>
    </w:p>
    <w:p/>
    <w:p>
      <w:r>
        <w:rPr>
          <w:b/>
        </w:rPr>
        <w:t>7. Vision et ambition</w:t>
      </w:r>
    </w:p>
    <w:p>
      <w:r>
        <w:t>L’objectif est de devenir un professionnel de santé compétent, engagé et capable de contribuer activement à la qualité des soins et au bien-être des patients.</w:t>
      </w:r>
    </w:p>
    <w:sectPr w:rsidR="00FC693F" w:rsidRPr="0006063C" w:rsidSect="00034616">
      <w:pgSz w:w="12240" w:h="15840"/>
      <w:pgMar w:top="864" w:right="2448" w:bottom="864"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