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072455"/>
          <w:sz w:val="60"/>
        </w:rPr>
        <w:t>RAPPORT D’ACTIVITÉ PROFESSIONNEL</w:t>
      </w:r>
    </w:p>
    <w:p>
      <w:r>
        <w:rPr>
          <w:color w:val="5A5A5A"/>
          <w:sz w:val="24"/>
        </w:rPr>
        <w:t>Pilotage des activités, suivi des performances et gestion des projets</w:t>
      </w:r>
    </w:p>
    <w:p/>
    <w:p>
      <w:r>
        <w:rPr>
          <w:b/>
          <w:color w:val="FFFFFF"/>
          <w:sz w:val="30"/>
        </w:rPr>
        <w:t>1  INFORMATIONS GÉNÉRALES</w:t>
      </w:r>
    </w:p>
    <w:tbl>
      <w:tblPr>
        <w:tblStyle w:val="TableGrid"/>
        <w:tblW w:type="auto" w:w="0"/>
        <w:tblLook w:firstColumn="1" w:firstRow="1" w:lastColumn="0" w:lastRow="0" w:noHBand="0" w:noVBand="1" w:val="04A0"/>
      </w:tblPr>
      <w:tblGrid>
        <w:gridCol w:w="2691"/>
        <w:gridCol w:w="2691"/>
        <w:gridCol w:w="2691"/>
        <w:gridCol w:w="2691"/>
      </w:tblGrid>
      <w:tr>
        <w:tc>
          <w:tcPr>
            <w:tcW w:type="dxa" w:w="2691"/>
            <w:shd w:fill="0B2D5B"/>
          </w:tcPr>
          <w:p>
            <w:r>
              <w:rPr>
                <w:b/>
                <w:color w:val="FFFFFF"/>
                <w:sz w:val="20"/>
              </w:rPr>
              <w:t>Rapport préparé par</w:t>
            </w:r>
          </w:p>
        </w:tc>
        <w:tc>
          <w:tcPr>
            <w:tcW w:type="dxa" w:w="2691"/>
          </w:tcPr>
          <w:p>
            <w:r>
              <w:t>Jean Dupont</w:t>
            </w:r>
          </w:p>
        </w:tc>
        <w:tc>
          <w:tcPr>
            <w:tcW w:type="dxa" w:w="5382"/>
            <w:gridSpan w:val="2"/>
            <w:vMerge w:val="restart"/>
            <w:shd w:fill="F5FAF7"/>
          </w:tcPr>
          <w:p>
            <w:r>
              <w:rPr>
                <w:b/>
                <w:color w:val="1A7A57"/>
                <w:sz w:val="22"/>
              </w:rPr>
              <w:t>RÉSUMÉ EXÉCUTIF</w:t>
              <w:br/>
              <w:br/>
              <w:t>Ce rapport présente les activités réalisées durant la période concernée, les résultats obtenus, les principaux indicateurs de performance ainsi que les actions prioritaires prévues pour la prochaine phase opérationnelle. L’objectif consiste à assurer un suivi structuré des missions et à faciliter la prise de décision stratégique.</w:t>
            </w:r>
          </w:p>
        </w:tc>
      </w:tr>
      <w:tr>
        <w:tc>
          <w:tcPr>
            <w:tcW w:type="dxa" w:w="2691"/>
            <w:shd w:fill="0B2D5B"/>
          </w:tcPr>
          <w:p>
            <w:r>
              <w:rPr>
                <w:b/>
                <w:color w:val="FFFFFF"/>
                <w:sz w:val="20"/>
              </w:rPr>
              <w:t>Fonction</w:t>
            </w:r>
          </w:p>
        </w:tc>
        <w:tc>
          <w:tcPr>
            <w:tcW w:type="dxa" w:w="2691"/>
          </w:tcPr>
          <w:p>
            <w:r>
              <w:t>Responsable des opérations</w:t>
            </w:r>
          </w:p>
        </w:tc>
        <w:tc>
          <w:tcPr>
            <w:tcW w:type="dxa" w:w="5382"/>
            <w:gridSpan w:val="2"/>
            <w:vMerge/>
          </w:tcPr>
          <w:p/>
        </w:tc>
      </w:tr>
      <w:tr>
        <w:tc>
          <w:tcPr>
            <w:tcW w:type="dxa" w:w="2691"/>
            <w:shd w:fill="0B2D5B"/>
          </w:tcPr>
          <w:p>
            <w:r>
              <w:rPr>
                <w:b/>
                <w:color w:val="FFFFFF"/>
                <w:sz w:val="20"/>
              </w:rPr>
              <w:t>Période du rapport</w:t>
            </w:r>
          </w:p>
        </w:tc>
        <w:tc>
          <w:tcPr>
            <w:tcW w:type="dxa" w:w="2691"/>
          </w:tcPr>
          <w:p>
            <w:r>
              <w:t>Janvier 2026</w:t>
            </w:r>
          </w:p>
        </w:tc>
        <w:tc>
          <w:tcPr>
            <w:tcW w:type="dxa" w:w="5382"/>
            <w:gridSpan w:val="2"/>
            <w:vMerge/>
          </w:tcPr>
          <w:p/>
        </w:tc>
      </w:tr>
      <w:tr>
        <w:tc>
          <w:tcPr>
            <w:tcW w:type="dxa" w:w="2691"/>
            <w:shd w:fill="0B2D5B"/>
          </w:tcPr>
          <w:p>
            <w:r>
              <w:rPr>
                <w:b/>
                <w:color w:val="FFFFFF"/>
                <w:sz w:val="20"/>
              </w:rPr>
              <w:t>Département</w:t>
            </w:r>
          </w:p>
        </w:tc>
        <w:tc>
          <w:tcPr>
            <w:tcW w:type="dxa" w:w="2691"/>
          </w:tcPr>
          <w:p>
            <w:r>
              <w:t>Direction Production &amp; Qualité</w:t>
            </w:r>
          </w:p>
        </w:tc>
        <w:tc>
          <w:tcPr>
            <w:tcW w:type="dxa" w:w="5382"/>
            <w:gridSpan w:val="2"/>
            <w:vMerge/>
          </w:tcPr>
          <w:p/>
        </w:tc>
      </w:tr>
      <w:tr>
        <w:tc>
          <w:tcPr>
            <w:tcW w:type="dxa" w:w="2691"/>
            <w:shd w:fill="0B2D5B"/>
          </w:tcPr>
          <w:p>
            <w:r>
              <w:rPr>
                <w:b/>
                <w:color w:val="FFFFFF"/>
                <w:sz w:val="20"/>
              </w:rPr>
              <w:t>Destinataires</w:t>
            </w:r>
          </w:p>
        </w:tc>
        <w:tc>
          <w:tcPr>
            <w:tcW w:type="dxa" w:w="2691"/>
          </w:tcPr>
          <w:p>
            <w:r>
              <w:t>Direction Générale</w:t>
            </w:r>
          </w:p>
        </w:tc>
        <w:tc>
          <w:tcPr>
            <w:tcW w:type="dxa" w:w="5382"/>
            <w:gridSpan w:val="2"/>
            <w:vMerge/>
          </w:tcPr>
          <w:p/>
        </w:tc>
      </w:tr>
    </w:tbl>
    <w:p/>
    <w:p>
      <w:r>
        <w:rPr>
          <w:b/>
          <w:color w:val="FFFFFF"/>
          <w:sz w:val="30"/>
        </w:rPr>
        <w:t>2  TABLEAU DE BORD DES INDICATEURS</w:t>
      </w:r>
    </w:p>
    <w:tbl>
      <w:tblPr>
        <w:tblStyle w:val="TableGrid"/>
        <w:tblW w:type="auto" w:w="0"/>
        <w:tblLook w:firstColumn="1" w:firstRow="1" w:lastColumn="0" w:lastRow="0" w:noHBand="0" w:noVBand="1" w:val="04A0"/>
      </w:tblPr>
      <w:tblGrid>
        <w:gridCol w:w="1794"/>
        <w:gridCol w:w="1794"/>
        <w:gridCol w:w="1794"/>
        <w:gridCol w:w="1794"/>
        <w:gridCol w:w="1794"/>
        <w:gridCol w:w="1794"/>
      </w:tblGrid>
      <w:tr>
        <w:tc>
          <w:tcPr>
            <w:tcW w:type="dxa" w:w="1794"/>
            <w:shd w:fill="1E8F5B"/>
          </w:tcPr>
          <w:p>
            <w:r>
              <w:rPr>
                <w:b/>
                <w:color w:val="FFFFFF"/>
                <w:sz w:val="20"/>
              </w:rPr>
              <w:t>Indicateur</w:t>
            </w:r>
          </w:p>
        </w:tc>
        <w:tc>
          <w:tcPr>
            <w:tcW w:type="dxa" w:w="1794"/>
            <w:shd w:fill="1E8F5B"/>
          </w:tcPr>
          <w:p>
            <w:r>
              <w:rPr>
                <w:b/>
                <w:color w:val="FFFFFF"/>
                <w:sz w:val="20"/>
              </w:rPr>
              <w:t>Objectif</w:t>
            </w:r>
          </w:p>
        </w:tc>
        <w:tc>
          <w:tcPr>
            <w:tcW w:type="dxa" w:w="1794"/>
            <w:shd w:fill="1E8F5B"/>
          </w:tcPr>
          <w:p>
            <w:r>
              <w:rPr>
                <w:b/>
                <w:color w:val="FFFFFF"/>
                <w:sz w:val="20"/>
              </w:rPr>
              <w:t>Résultat</w:t>
            </w:r>
          </w:p>
        </w:tc>
        <w:tc>
          <w:tcPr>
            <w:tcW w:type="dxa" w:w="1794"/>
            <w:shd w:fill="1E8F5B"/>
          </w:tcPr>
          <w:p>
            <w:r>
              <w:rPr>
                <w:b/>
                <w:color w:val="FFFFFF"/>
                <w:sz w:val="20"/>
              </w:rPr>
              <w:t>Écart</w:t>
            </w:r>
          </w:p>
        </w:tc>
        <w:tc>
          <w:tcPr>
            <w:tcW w:type="dxa" w:w="1794"/>
            <w:shd w:fill="1E8F5B"/>
          </w:tcPr>
          <w:p>
            <w:r>
              <w:rPr>
                <w:b/>
                <w:color w:val="FFFFFF"/>
                <w:sz w:val="20"/>
              </w:rPr>
              <w:t>Statut</w:t>
            </w:r>
          </w:p>
        </w:tc>
        <w:tc>
          <w:tcPr>
            <w:tcW w:type="dxa" w:w="1794"/>
            <w:shd w:fill="1E8F5B"/>
          </w:tcPr>
          <w:p>
            <w:r>
              <w:rPr>
                <w:b/>
                <w:color w:val="FFFFFF"/>
                <w:sz w:val="20"/>
              </w:rPr>
              <w:t>Commentaire</w:t>
            </w:r>
          </w:p>
        </w:tc>
      </w:tr>
      <w:tr>
        <w:tc>
          <w:tcPr>
            <w:tcW w:type="dxa" w:w="1794"/>
          </w:tcPr>
          <w:p>
            <w:r>
              <w:t>Budget</w:t>
            </w:r>
          </w:p>
        </w:tc>
        <w:tc>
          <w:tcPr>
            <w:tcW w:type="dxa" w:w="1794"/>
          </w:tcPr>
          <w:p>
            <w:r>
              <w:t>95%</w:t>
            </w:r>
          </w:p>
        </w:tc>
        <w:tc>
          <w:tcPr>
            <w:tcW w:type="dxa" w:w="1794"/>
          </w:tcPr>
          <w:p>
            <w:r>
              <w:t>92%</w:t>
            </w:r>
          </w:p>
        </w:tc>
        <w:tc>
          <w:tcPr>
            <w:tcW w:type="dxa" w:w="1794"/>
          </w:tcPr>
          <w:p>
            <w:r>
              <w:t>-3%</w:t>
            </w:r>
          </w:p>
        </w:tc>
        <w:tc>
          <w:tcPr>
            <w:tcW w:type="dxa" w:w="1794"/>
            <w:shd w:fill="F4B400"/>
          </w:tcPr>
          <w:p>
            <w:r>
              <w:t>Attention</w:t>
            </w:r>
          </w:p>
        </w:tc>
        <w:tc>
          <w:tcPr>
            <w:tcW w:type="dxa" w:w="1794"/>
          </w:tcPr>
          <w:p>
            <w:r>
              <w:t>Quelques ajustements budgétaires restent nécessaires.</w:t>
            </w:r>
          </w:p>
        </w:tc>
      </w:tr>
      <w:tr>
        <w:tc>
          <w:tcPr>
            <w:tcW w:type="dxa" w:w="1794"/>
          </w:tcPr>
          <w:p>
            <w:r>
              <w:t>Production</w:t>
            </w:r>
          </w:p>
        </w:tc>
        <w:tc>
          <w:tcPr>
            <w:tcW w:type="dxa" w:w="1794"/>
          </w:tcPr>
          <w:p>
            <w:r>
              <w:t>1000 unités</w:t>
            </w:r>
          </w:p>
        </w:tc>
        <w:tc>
          <w:tcPr>
            <w:tcW w:type="dxa" w:w="1794"/>
          </w:tcPr>
          <w:p>
            <w:r>
              <w:t>1080 unités</w:t>
            </w:r>
          </w:p>
        </w:tc>
        <w:tc>
          <w:tcPr>
            <w:tcW w:type="dxa" w:w="1794"/>
          </w:tcPr>
          <w:p>
            <w:r>
              <w:t>+8%</w:t>
            </w:r>
          </w:p>
        </w:tc>
        <w:tc>
          <w:tcPr>
            <w:tcW w:type="dxa" w:w="1794"/>
            <w:shd w:fill="00B050"/>
          </w:tcPr>
          <w:p>
            <w:r>
              <w:t>Contrôlé</w:t>
            </w:r>
          </w:p>
        </w:tc>
        <w:tc>
          <w:tcPr>
            <w:tcW w:type="dxa" w:w="1794"/>
          </w:tcPr>
          <w:p>
            <w:r>
              <w:t>Objectif dépassé grâce à une meilleure cadence.</w:t>
            </w:r>
          </w:p>
        </w:tc>
      </w:tr>
      <w:tr>
        <w:tc>
          <w:tcPr>
            <w:tcW w:type="dxa" w:w="1794"/>
          </w:tcPr>
          <w:p>
            <w:r>
              <w:t>Qualité</w:t>
            </w:r>
          </w:p>
        </w:tc>
        <w:tc>
          <w:tcPr>
            <w:tcW w:type="dxa" w:w="1794"/>
          </w:tcPr>
          <w:p>
            <w:r>
              <w:t>&lt;2% défauts</w:t>
            </w:r>
          </w:p>
        </w:tc>
        <w:tc>
          <w:tcPr>
            <w:tcW w:type="dxa" w:w="1794"/>
          </w:tcPr>
          <w:p>
            <w:r>
              <w:t>1.4%</w:t>
            </w:r>
          </w:p>
        </w:tc>
        <w:tc>
          <w:tcPr>
            <w:tcW w:type="dxa" w:w="1794"/>
          </w:tcPr>
          <w:p>
            <w:r>
              <w:t>Conforme</w:t>
            </w:r>
          </w:p>
        </w:tc>
        <w:tc>
          <w:tcPr>
            <w:tcW w:type="dxa" w:w="1794"/>
            <w:shd w:fill="00B050"/>
          </w:tcPr>
          <w:p>
            <w:r>
              <w:t>Contrôlé</w:t>
            </w:r>
          </w:p>
        </w:tc>
        <w:tc>
          <w:tcPr>
            <w:tcW w:type="dxa" w:w="1794"/>
          </w:tcPr>
          <w:p>
            <w:r>
              <w:t>Amélioration notable du taux de conformité.</w:t>
            </w:r>
          </w:p>
        </w:tc>
      </w:tr>
      <w:tr>
        <w:tc>
          <w:tcPr>
            <w:tcW w:type="dxa" w:w="1794"/>
          </w:tcPr>
          <w:p>
            <w:r>
              <w:t>Maintenance</w:t>
            </w:r>
          </w:p>
        </w:tc>
        <w:tc>
          <w:tcPr>
            <w:tcW w:type="dxa" w:w="1794"/>
          </w:tcPr>
          <w:p>
            <w:r>
              <w:t>95% disponibilité</w:t>
            </w:r>
          </w:p>
        </w:tc>
        <w:tc>
          <w:tcPr>
            <w:tcW w:type="dxa" w:w="1794"/>
          </w:tcPr>
          <w:p>
            <w:r>
              <w:t>89%</w:t>
            </w:r>
          </w:p>
        </w:tc>
        <w:tc>
          <w:tcPr>
            <w:tcW w:type="dxa" w:w="1794"/>
          </w:tcPr>
          <w:p>
            <w:r>
              <w:t>-6%</w:t>
            </w:r>
          </w:p>
        </w:tc>
        <w:tc>
          <w:tcPr>
            <w:tcW w:type="dxa" w:w="1794"/>
            <w:shd w:fill="FF0000"/>
          </w:tcPr>
          <w:p>
            <w:r>
              <w:t>Critique</w:t>
            </w:r>
          </w:p>
        </w:tc>
        <w:tc>
          <w:tcPr>
            <w:tcW w:type="dxa" w:w="1794"/>
          </w:tcPr>
          <w:p>
            <w:r>
              <w:t>Plusieurs arrêts techniques ont impacté la production.</w:t>
            </w:r>
          </w:p>
        </w:tc>
      </w:tr>
      <w:tr>
        <w:tc>
          <w:tcPr>
            <w:tcW w:type="dxa" w:w="1794"/>
          </w:tcPr>
          <w:p>
            <w:r>
              <w:t>Formation</w:t>
            </w:r>
          </w:p>
        </w:tc>
        <w:tc>
          <w:tcPr>
            <w:tcW w:type="dxa" w:w="1794"/>
          </w:tcPr>
          <w:p>
            <w:r>
              <w:t>12 sessions</w:t>
            </w:r>
          </w:p>
        </w:tc>
        <w:tc>
          <w:tcPr>
            <w:tcW w:type="dxa" w:w="1794"/>
          </w:tcPr>
          <w:p>
            <w:r>
              <w:t>14 sessions</w:t>
            </w:r>
          </w:p>
        </w:tc>
        <w:tc>
          <w:tcPr>
            <w:tcW w:type="dxa" w:w="1794"/>
          </w:tcPr>
          <w:p>
            <w:r>
              <w:t>+2</w:t>
            </w:r>
          </w:p>
        </w:tc>
        <w:tc>
          <w:tcPr>
            <w:tcW w:type="dxa" w:w="1794"/>
            <w:shd w:fill="00B050"/>
          </w:tcPr>
          <w:p>
            <w:r>
              <w:t>Contrôlé</w:t>
            </w:r>
          </w:p>
        </w:tc>
        <w:tc>
          <w:tcPr>
            <w:tcW w:type="dxa" w:w="1794"/>
          </w:tcPr>
          <w:p>
            <w:r>
              <w:t>Renforcement des compétences opérationnelles.</w:t>
            </w:r>
          </w:p>
        </w:tc>
      </w:tr>
    </w:tbl>
    <w:p/>
    <w:p>
      <w:r>
        <w:rPr>
          <w:b/>
          <w:color w:val="FFFFFF"/>
          <w:sz w:val="30"/>
        </w:rPr>
        <w:t>3  RÉALISATIONS ET ACTIVITÉS</w:t>
      </w:r>
    </w:p>
    <w:tbl>
      <w:tblPr>
        <w:tblStyle w:val="TableGrid"/>
        <w:tblW w:type="auto" w:w="0"/>
        <w:tblLook w:firstColumn="1" w:firstRow="1" w:lastColumn="0" w:lastRow="0" w:noHBand="0" w:noVBand="1" w:val="04A0"/>
      </w:tblPr>
      <w:tblGrid>
        <w:gridCol w:w="2153"/>
        <w:gridCol w:w="2153"/>
        <w:gridCol w:w="2153"/>
        <w:gridCol w:w="2153"/>
        <w:gridCol w:w="2153"/>
      </w:tblGrid>
      <w:tr>
        <w:tc>
          <w:tcPr>
            <w:tcW w:type="dxa" w:w="2153"/>
            <w:shd w:fill="1D4F91"/>
          </w:tcPr>
          <w:p>
            <w:r>
              <w:rPr>
                <w:b/>
                <w:color w:val="FFFFFF"/>
                <w:sz w:val="20"/>
              </w:rPr>
              <w:t>N°</w:t>
            </w:r>
          </w:p>
        </w:tc>
        <w:tc>
          <w:tcPr>
            <w:tcW w:type="dxa" w:w="2153"/>
            <w:shd w:fill="1D4F91"/>
          </w:tcPr>
          <w:p>
            <w:r>
              <w:rPr>
                <w:b/>
                <w:color w:val="FFFFFF"/>
                <w:sz w:val="20"/>
              </w:rPr>
              <w:t>Activité</w:t>
            </w:r>
          </w:p>
        </w:tc>
        <w:tc>
          <w:tcPr>
            <w:tcW w:type="dxa" w:w="2153"/>
            <w:shd w:fill="1D4F91"/>
          </w:tcPr>
          <w:p>
            <w:r>
              <w:rPr>
                <w:b/>
                <w:color w:val="FFFFFF"/>
                <w:sz w:val="20"/>
              </w:rPr>
              <w:t>Objectif</w:t>
            </w:r>
          </w:p>
        </w:tc>
        <w:tc>
          <w:tcPr>
            <w:tcW w:type="dxa" w:w="2153"/>
            <w:shd w:fill="1D4F91"/>
          </w:tcPr>
          <w:p>
            <w:r>
              <w:rPr>
                <w:b/>
                <w:color w:val="FFFFFF"/>
                <w:sz w:val="20"/>
              </w:rPr>
              <w:t>Résultat</w:t>
            </w:r>
          </w:p>
        </w:tc>
        <w:tc>
          <w:tcPr>
            <w:tcW w:type="dxa" w:w="2153"/>
            <w:shd w:fill="1D4F91"/>
          </w:tcPr>
          <w:p>
            <w:r>
              <w:rPr>
                <w:b/>
                <w:color w:val="FFFFFF"/>
                <w:sz w:val="20"/>
              </w:rPr>
              <w:t>Commentaires</w:t>
            </w:r>
          </w:p>
        </w:tc>
      </w:tr>
      <w:tr>
        <w:tc>
          <w:tcPr>
            <w:tcW w:type="dxa" w:w="2153"/>
          </w:tcPr>
          <w:p>
            <w:r>
              <w:t>1</w:t>
            </w:r>
          </w:p>
        </w:tc>
        <w:tc>
          <w:tcPr>
            <w:tcW w:type="dxa" w:w="2153"/>
          </w:tcPr>
          <w:p>
            <w:r>
              <w:t>Audit interne qualité</w:t>
            </w:r>
          </w:p>
        </w:tc>
        <w:tc>
          <w:tcPr>
            <w:tcW w:type="dxa" w:w="2153"/>
          </w:tcPr>
          <w:p>
            <w:r>
              <w:t>Évaluer les écarts ISO</w:t>
            </w:r>
          </w:p>
        </w:tc>
        <w:tc>
          <w:tcPr>
            <w:tcW w:type="dxa" w:w="2153"/>
          </w:tcPr>
          <w:p>
            <w:r>
              <w:t>Audit terminé</w:t>
            </w:r>
          </w:p>
        </w:tc>
        <w:tc>
          <w:tcPr>
            <w:tcW w:type="dxa" w:w="2153"/>
          </w:tcPr>
          <w:p>
            <w:r>
              <w:t>Plan d’action validé.</w:t>
            </w:r>
          </w:p>
        </w:tc>
      </w:tr>
      <w:tr>
        <w:tc>
          <w:tcPr>
            <w:tcW w:type="dxa" w:w="2153"/>
          </w:tcPr>
          <w:p>
            <w:r>
              <w:t>2</w:t>
            </w:r>
          </w:p>
        </w:tc>
        <w:tc>
          <w:tcPr>
            <w:tcW w:type="dxa" w:w="2153"/>
          </w:tcPr>
          <w:p>
            <w:r>
              <w:t>Réunion stratégique</w:t>
            </w:r>
          </w:p>
        </w:tc>
        <w:tc>
          <w:tcPr>
            <w:tcW w:type="dxa" w:w="2153"/>
          </w:tcPr>
          <w:p>
            <w:r>
              <w:t>Définir les priorités</w:t>
            </w:r>
          </w:p>
        </w:tc>
        <w:tc>
          <w:tcPr>
            <w:tcW w:type="dxa" w:w="2153"/>
          </w:tcPr>
          <w:p>
            <w:r>
              <w:t>5 axes approuvés</w:t>
            </w:r>
          </w:p>
        </w:tc>
        <w:tc>
          <w:tcPr>
            <w:tcW w:type="dxa" w:w="2153"/>
          </w:tcPr>
          <w:p>
            <w:r>
              <w:t>Nouvelle feuille de route validée.</w:t>
            </w:r>
          </w:p>
        </w:tc>
      </w:tr>
      <w:tr>
        <w:tc>
          <w:tcPr>
            <w:tcW w:type="dxa" w:w="2153"/>
          </w:tcPr>
          <w:p>
            <w:r>
              <w:t>3</w:t>
            </w:r>
          </w:p>
        </w:tc>
        <w:tc>
          <w:tcPr>
            <w:tcW w:type="dxa" w:w="2153"/>
          </w:tcPr>
          <w:p>
            <w:r>
              <w:t>Suivi fournisseurs</w:t>
            </w:r>
          </w:p>
        </w:tc>
        <w:tc>
          <w:tcPr>
            <w:tcW w:type="dxa" w:w="2153"/>
          </w:tcPr>
          <w:p>
            <w:r>
              <w:t>Réduire les retards</w:t>
            </w:r>
          </w:p>
        </w:tc>
        <w:tc>
          <w:tcPr>
            <w:tcW w:type="dxa" w:w="2153"/>
          </w:tcPr>
          <w:p>
            <w:r>
              <w:t>-18% de retards</w:t>
            </w:r>
          </w:p>
        </w:tc>
        <w:tc>
          <w:tcPr>
            <w:tcW w:type="dxa" w:w="2153"/>
          </w:tcPr>
          <w:p>
            <w:r>
              <w:t>Amélioration logistique progressive.</w:t>
            </w:r>
          </w:p>
        </w:tc>
      </w:tr>
      <w:tr>
        <w:tc>
          <w:tcPr>
            <w:tcW w:type="dxa" w:w="2153"/>
          </w:tcPr>
          <w:p>
            <w:r>
              <w:t>4</w:t>
            </w:r>
          </w:p>
        </w:tc>
        <w:tc>
          <w:tcPr>
            <w:tcW w:type="dxa" w:w="2153"/>
          </w:tcPr>
          <w:p>
            <w:r>
              <w:t>Formation sécurité</w:t>
            </w:r>
          </w:p>
        </w:tc>
        <w:tc>
          <w:tcPr>
            <w:tcW w:type="dxa" w:w="2153"/>
          </w:tcPr>
          <w:p>
            <w:r>
              <w:t>Sensibiliser les équipes</w:t>
            </w:r>
          </w:p>
        </w:tc>
        <w:tc>
          <w:tcPr>
            <w:tcW w:type="dxa" w:w="2153"/>
          </w:tcPr>
          <w:p>
            <w:r>
              <w:t>96 collaborateurs formés</w:t>
            </w:r>
          </w:p>
        </w:tc>
        <w:tc>
          <w:tcPr>
            <w:tcW w:type="dxa" w:w="2153"/>
          </w:tcPr>
          <w:p>
            <w:r>
              <w:t>Très bon engagement terrain.</w:t>
            </w:r>
          </w:p>
        </w:tc>
      </w:tr>
      <w:tr>
        <w:tc>
          <w:tcPr>
            <w:tcW w:type="dxa" w:w="2153"/>
          </w:tcPr>
          <w:p>
            <w:r>
              <w:t>5</w:t>
            </w:r>
          </w:p>
        </w:tc>
        <w:tc>
          <w:tcPr>
            <w:tcW w:type="dxa" w:w="2153"/>
          </w:tcPr>
          <w:p>
            <w:r>
              <w:t>Optimisation maintenance</w:t>
            </w:r>
          </w:p>
        </w:tc>
        <w:tc>
          <w:tcPr>
            <w:tcW w:type="dxa" w:w="2153"/>
          </w:tcPr>
          <w:p>
            <w:r>
              <w:t>Réduire les pannes</w:t>
            </w:r>
          </w:p>
        </w:tc>
        <w:tc>
          <w:tcPr>
            <w:tcW w:type="dxa" w:w="2153"/>
          </w:tcPr>
          <w:p>
            <w:r>
              <w:t>-12% d’arrêts</w:t>
            </w:r>
          </w:p>
        </w:tc>
        <w:tc>
          <w:tcPr>
            <w:tcW w:type="dxa" w:w="2153"/>
          </w:tcPr>
          <w:p>
            <w:r>
              <w:t>Résultats encourageants.</w:t>
            </w:r>
          </w:p>
        </w:tc>
      </w:tr>
      <w:tr>
        <w:tc>
          <w:tcPr>
            <w:tcW w:type="dxa" w:w="2153"/>
          </w:tcPr>
          <w:p>
            <w:r>
              <w:t>6</w:t>
            </w:r>
          </w:p>
        </w:tc>
        <w:tc>
          <w:tcPr>
            <w:tcW w:type="dxa" w:w="2153"/>
          </w:tcPr>
          <w:p>
            <w:r>
              <w:t>Mise à jour procédures</w:t>
            </w:r>
          </w:p>
        </w:tc>
        <w:tc>
          <w:tcPr>
            <w:tcW w:type="dxa" w:w="2153"/>
          </w:tcPr>
          <w:p>
            <w:r>
              <w:t>Standardiser les opérations</w:t>
            </w:r>
          </w:p>
        </w:tc>
        <w:tc>
          <w:tcPr>
            <w:tcW w:type="dxa" w:w="2153"/>
          </w:tcPr>
          <w:p>
            <w:r>
              <w:t>11 procédures révisées</w:t>
            </w:r>
          </w:p>
        </w:tc>
        <w:tc>
          <w:tcPr>
            <w:tcW w:type="dxa" w:w="2153"/>
          </w:tcPr>
          <w:p>
            <w:r>
              <w:t>Documentation modernisée.</w:t>
            </w:r>
          </w:p>
        </w:tc>
      </w:tr>
      <w:tr>
        <w:tc>
          <w:tcPr>
            <w:tcW w:type="dxa" w:w="2153"/>
          </w:tcPr>
          <w:p>
            <w:r>
              <w:t>7</w:t>
            </w:r>
          </w:p>
        </w:tc>
        <w:tc>
          <w:tcPr>
            <w:tcW w:type="dxa" w:w="2153"/>
          </w:tcPr>
          <w:p>
            <w:r>
              <w:t>Analyse des coûts</w:t>
            </w:r>
          </w:p>
        </w:tc>
        <w:tc>
          <w:tcPr>
            <w:tcW w:type="dxa" w:w="2153"/>
          </w:tcPr>
          <w:p>
            <w:r>
              <w:t>Identifier les dérives</w:t>
            </w:r>
          </w:p>
        </w:tc>
        <w:tc>
          <w:tcPr>
            <w:tcW w:type="dxa" w:w="2153"/>
          </w:tcPr>
          <w:p>
            <w:r>
              <w:t>3 postes critiques détectés</w:t>
            </w:r>
          </w:p>
        </w:tc>
        <w:tc>
          <w:tcPr>
            <w:tcW w:type="dxa" w:w="2153"/>
          </w:tcPr>
          <w:p>
            <w:r>
              <w:t>Mesures correctives prévues.</w:t>
            </w:r>
          </w:p>
        </w:tc>
      </w:tr>
      <w:tr>
        <w:tc>
          <w:tcPr>
            <w:tcW w:type="dxa" w:w="2153"/>
          </w:tcPr>
          <w:p>
            <w:r>
              <w:t>8</w:t>
            </w:r>
          </w:p>
        </w:tc>
        <w:tc>
          <w:tcPr>
            <w:tcW w:type="dxa" w:w="2153"/>
          </w:tcPr>
          <w:p>
            <w:r>
              <w:t>Pilotage projet ERP</w:t>
            </w:r>
          </w:p>
        </w:tc>
        <w:tc>
          <w:tcPr>
            <w:tcW w:type="dxa" w:w="2153"/>
          </w:tcPr>
          <w:p>
            <w:r>
              <w:t>Suivre le déploiement</w:t>
            </w:r>
          </w:p>
        </w:tc>
        <w:tc>
          <w:tcPr>
            <w:tcW w:type="dxa" w:w="2153"/>
          </w:tcPr>
          <w:p>
            <w:r>
              <w:t>Phase 2 terminée</w:t>
            </w:r>
          </w:p>
        </w:tc>
        <w:tc>
          <w:tcPr>
            <w:tcW w:type="dxa" w:w="2153"/>
          </w:tcPr>
          <w:p>
            <w:r>
              <w:t>Migration stabilisée.</w:t>
            </w:r>
          </w:p>
        </w:tc>
      </w:tr>
    </w:tbl>
    <w:p/>
    <w:p>
      <w:r>
        <w:rPr>
          <w:b/>
          <w:color w:val="FFFFFF"/>
          <w:sz w:val="30"/>
        </w:rPr>
        <w:t>4  PLAN D’ACTION</w:t>
      </w:r>
    </w:p>
    <w:tbl>
      <w:tblPr>
        <w:tblStyle w:val="TableGrid"/>
        <w:tblW w:type="auto" w:w="0"/>
        <w:tblLook w:firstColumn="1" w:firstRow="1" w:lastColumn="0" w:lastRow="0" w:noHBand="0" w:noVBand="1" w:val="04A0"/>
      </w:tblPr>
      <w:tblGrid>
        <w:gridCol w:w="1794"/>
        <w:gridCol w:w="1794"/>
        <w:gridCol w:w="1794"/>
        <w:gridCol w:w="1794"/>
        <w:gridCol w:w="1794"/>
        <w:gridCol w:w="1794"/>
      </w:tblGrid>
      <w:tr>
        <w:tc>
          <w:tcPr>
            <w:tcW w:type="dxa" w:w="1794"/>
            <w:shd w:fill="E98C16"/>
          </w:tcPr>
          <w:p>
            <w:r>
              <w:rPr>
                <w:b/>
                <w:color w:val="FFFFFF"/>
                <w:sz w:val="20"/>
              </w:rPr>
              <w:t>Action</w:t>
            </w:r>
          </w:p>
        </w:tc>
        <w:tc>
          <w:tcPr>
            <w:tcW w:type="dxa" w:w="1794"/>
            <w:shd w:fill="E98C16"/>
          </w:tcPr>
          <w:p>
            <w:r>
              <w:rPr>
                <w:b/>
                <w:color w:val="FFFFFF"/>
                <w:sz w:val="20"/>
              </w:rPr>
              <w:t>Priorité</w:t>
            </w:r>
          </w:p>
        </w:tc>
        <w:tc>
          <w:tcPr>
            <w:tcW w:type="dxa" w:w="1794"/>
            <w:shd w:fill="E98C16"/>
          </w:tcPr>
          <w:p>
            <w:r>
              <w:rPr>
                <w:b/>
                <w:color w:val="FFFFFF"/>
                <w:sz w:val="20"/>
              </w:rPr>
              <w:t>Responsable</w:t>
            </w:r>
          </w:p>
        </w:tc>
        <w:tc>
          <w:tcPr>
            <w:tcW w:type="dxa" w:w="1794"/>
            <w:shd w:fill="E98C16"/>
          </w:tcPr>
          <w:p>
            <w:r>
              <w:rPr>
                <w:b/>
                <w:color w:val="FFFFFF"/>
                <w:sz w:val="20"/>
              </w:rPr>
              <w:t>Échéance</w:t>
            </w:r>
          </w:p>
        </w:tc>
        <w:tc>
          <w:tcPr>
            <w:tcW w:type="dxa" w:w="1794"/>
            <w:shd w:fill="E98C16"/>
          </w:tcPr>
          <w:p>
            <w:r>
              <w:rPr>
                <w:b/>
                <w:color w:val="FFFFFF"/>
                <w:sz w:val="20"/>
              </w:rPr>
              <w:t>Avancement</w:t>
            </w:r>
          </w:p>
        </w:tc>
        <w:tc>
          <w:tcPr>
            <w:tcW w:type="dxa" w:w="1794"/>
            <w:shd w:fill="E98C16"/>
          </w:tcPr>
          <w:p>
            <w:r>
              <w:rPr>
                <w:b/>
                <w:color w:val="FFFFFF"/>
                <w:sz w:val="20"/>
              </w:rPr>
              <w:t>Observation</w:t>
            </w:r>
          </w:p>
        </w:tc>
      </w:tr>
      <w:tr>
        <w:tc>
          <w:tcPr>
            <w:tcW w:type="dxa" w:w="1794"/>
          </w:tcPr>
          <w:p>
            <w:r>
              <w:t>Réduction des coûts énergie</w:t>
            </w:r>
          </w:p>
        </w:tc>
        <w:tc>
          <w:tcPr>
            <w:tcW w:type="dxa" w:w="1794"/>
          </w:tcPr>
          <w:p>
            <w:r>
              <w:t>Haute</w:t>
            </w:r>
          </w:p>
        </w:tc>
        <w:tc>
          <w:tcPr>
            <w:tcW w:type="dxa" w:w="1794"/>
          </w:tcPr>
          <w:p>
            <w:r>
              <w:t>Direction Technique</w:t>
            </w:r>
          </w:p>
        </w:tc>
        <w:tc>
          <w:tcPr>
            <w:tcW w:type="dxa" w:w="1794"/>
          </w:tcPr>
          <w:p>
            <w:r>
              <w:t>15/02/2026</w:t>
            </w:r>
          </w:p>
        </w:tc>
        <w:tc>
          <w:tcPr>
            <w:tcW w:type="dxa" w:w="1794"/>
          </w:tcPr>
          <w:p>
            <w:r>
              <w:t>65%</w:t>
            </w:r>
          </w:p>
        </w:tc>
        <w:tc>
          <w:tcPr>
            <w:tcW w:type="dxa" w:w="1794"/>
          </w:tcPr>
          <w:p>
            <w:r>
              <w:t>Projet en cours</w:t>
            </w:r>
          </w:p>
        </w:tc>
      </w:tr>
      <w:tr>
        <w:tc>
          <w:tcPr>
            <w:tcW w:type="dxa" w:w="1794"/>
          </w:tcPr>
          <w:p>
            <w:r>
              <w:t>Digitalisation des formulaires</w:t>
            </w:r>
          </w:p>
        </w:tc>
        <w:tc>
          <w:tcPr>
            <w:tcW w:type="dxa" w:w="1794"/>
          </w:tcPr>
          <w:p>
            <w:r>
              <w:t>Moyenne</w:t>
            </w:r>
          </w:p>
        </w:tc>
        <w:tc>
          <w:tcPr>
            <w:tcW w:type="dxa" w:w="1794"/>
          </w:tcPr>
          <w:p>
            <w:r>
              <w:t>Service IT</w:t>
            </w:r>
          </w:p>
        </w:tc>
        <w:tc>
          <w:tcPr>
            <w:tcW w:type="dxa" w:w="1794"/>
          </w:tcPr>
          <w:p>
            <w:r>
              <w:t>28/02/2026</w:t>
            </w:r>
          </w:p>
        </w:tc>
        <w:tc>
          <w:tcPr>
            <w:tcW w:type="dxa" w:w="1794"/>
          </w:tcPr>
          <w:p>
            <w:r>
              <w:t>40%</w:t>
            </w:r>
          </w:p>
        </w:tc>
        <w:tc>
          <w:tcPr>
            <w:tcW w:type="dxa" w:w="1794"/>
          </w:tcPr>
          <w:p>
            <w:r>
              <w:t>Phase de test</w:t>
            </w:r>
          </w:p>
        </w:tc>
      </w:tr>
      <w:tr>
        <w:tc>
          <w:tcPr>
            <w:tcW w:type="dxa" w:w="1794"/>
          </w:tcPr>
          <w:p>
            <w:r>
              <w:t>Renforcement sécurité</w:t>
            </w:r>
          </w:p>
        </w:tc>
        <w:tc>
          <w:tcPr>
            <w:tcW w:type="dxa" w:w="1794"/>
          </w:tcPr>
          <w:p>
            <w:r>
              <w:t>Haute</w:t>
            </w:r>
          </w:p>
        </w:tc>
        <w:tc>
          <w:tcPr>
            <w:tcW w:type="dxa" w:w="1794"/>
          </w:tcPr>
          <w:p>
            <w:r>
              <w:t>QHSE</w:t>
            </w:r>
          </w:p>
        </w:tc>
        <w:tc>
          <w:tcPr>
            <w:tcW w:type="dxa" w:w="1794"/>
          </w:tcPr>
          <w:p>
            <w:r>
              <w:t>05/03/2026</w:t>
            </w:r>
          </w:p>
        </w:tc>
        <w:tc>
          <w:tcPr>
            <w:tcW w:type="dxa" w:w="1794"/>
          </w:tcPr>
          <w:p>
            <w:r>
              <w:t>72%</w:t>
            </w:r>
          </w:p>
        </w:tc>
        <w:tc>
          <w:tcPr>
            <w:tcW w:type="dxa" w:w="1794"/>
          </w:tcPr>
          <w:p>
            <w:r>
              <w:t>Déploiement terrain</w:t>
            </w:r>
          </w:p>
        </w:tc>
      </w:tr>
      <w:tr>
        <w:tc>
          <w:tcPr>
            <w:tcW w:type="dxa" w:w="1794"/>
          </w:tcPr>
          <w:p>
            <w:r>
              <w:t>Refonte reporting</w:t>
            </w:r>
          </w:p>
        </w:tc>
        <w:tc>
          <w:tcPr>
            <w:tcW w:type="dxa" w:w="1794"/>
          </w:tcPr>
          <w:p>
            <w:r>
              <w:t>Moyenne</w:t>
            </w:r>
          </w:p>
        </w:tc>
        <w:tc>
          <w:tcPr>
            <w:tcW w:type="dxa" w:w="1794"/>
          </w:tcPr>
          <w:p>
            <w:r>
              <w:t>Contrôle de gestion</w:t>
            </w:r>
          </w:p>
        </w:tc>
        <w:tc>
          <w:tcPr>
            <w:tcW w:type="dxa" w:w="1794"/>
          </w:tcPr>
          <w:p>
            <w:r>
              <w:t>10/03/2026</w:t>
            </w:r>
          </w:p>
        </w:tc>
        <w:tc>
          <w:tcPr>
            <w:tcW w:type="dxa" w:w="1794"/>
          </w:tcPr>
          <w:p>
            <w:r>
              <w:t>50%</w:t>
            </w:r>
          </w:p>
        </w:tc>
        <w:tc>
          <w:tcPr>
            <w:tcW w:type="dxa" w:w="1794"/>
          </w:tcPr>
          <w:p>
            <w:r>
              <w:t>Maquette validée</w:t>
            </w:r>
          </w:p>
        </w:tc>
      </w:tr>
      <w:tr>
        <w:tc>
          <w:tcPr>
            <w:tcW w:type="dxa" w:w="1794"/>
          </w:tcPr>
          <w:p>
            <w:r>
              <w:t>Optimisation stocks</w:t>
            </w:r>
          </w:p>
        </w:tc>
        <w:tc>
          <w:tcPr>
            <w:tcW w:type="dxa" w:w="1794"/>
          </w:tcPr>
          <w:p>
            <w:r>
              <w:t>Critique</w:t>
            </w:r>
          </w:p>
        </w:tc>
        <w:tc>
          <w:tcPr>
            <w:tcW w:type="dxa" w:w="1794"/>
          </w:tcPr>
          <w:p>
            <w:r>
              <w:t>Logistique</w:t>
            </w:r>
          </w:p>
        </w:tc>
        <w:tc>
          <w:tcPr>
            <w:tcW w:type="dxa" w:w="1794"/>
          </w:tcPr>
          <w:p>
            <w:r>
              <w:t>20/03/2026</w:t>
            </w:r>
          </w:p>
        </w:tc>
        <w:tc>
          <w:tcPr>
            <w:tcW w:type="dxa" w:w="1794"/>
          </w:tcPr>
          <w:p>
            <w:r>
              <w:t>35%</w:t>
            </w:r>
          </w:p>
        </w:tc>
        <w:tc>
          <w:tcPr>
            <w:tcW w:type="dxa" w:w="1794"/>
          </w:tcPr>
          <w:p>
            <w:r>
              <w:t>Risque de rupture</w:t>
            </w:r>
          </w:p>
        </w:tc>
      </w:tr>
    </w:tbl>
    <w:p/>
    <w:p>
      <w:r>
        <w:rPr>
          <w:b/>
          <w:color w:val="FFFFFF"/>
          <w:sz w:val="30"/>
        </w:rPr>
        <w:t>5  JALONS DU PROJET</w:t>
      </w:r>
    </w:p>
    <w:tbl>
      <w:tblPr>
        <w:tblStyle w:val="TableGrid"/>
        <w:tblW w:type="auto" w:w="0"/>
        <w:tblLook w:firstColumn="1" w:firstRow="1" w:lastColumn="0" w:lastRow="0" w:noHBand="0" w:noVBand="1" w:val="04A0"/>
      </w:tblPr>
      <w:tblGrid>
        <w:gridCol w:w="2153"/>
        <w:gridCol w:w="2153"/>
        <w:gridCol w:w="2153"/>
        <w:gridCol w:w="2153"/>
        <w:gridCol w:w="2153"/>
      </w:tblGrid>
      <w:tr>
        <w:tc>
          <w:tcPr>
            <w:tcW w:type="dxa" w:w="2153"/>
            <w:shd w:fill="0F7A9A"/>
          </w:tcPr>
          <w:p>
            <w:r>
              <w:rPr>
                <w:b/>
                <w:color w:val="FFFFFF"/>
                <w:sz w:val="20"/>
              </w:rPr>
              <w:t>Jalon</w:t>
            </w:r>
          </w:p>
        </w:tc>
        <w:tc>
          <w:tcPr>
            <w:tcW w:type="dxa" w:w="2153"/>
            <w:shd w:fill="0F7A9A"/>
          </w:tcPr>
          <w:p>
            <w:r>
              <w:rPr>
                <w:b/>
                <w:color w:val="FFFFFF"/>
                <w:sz w:val="20"/>
              </w:rPr>
              <w:t>Date prévue</w:t>
            </w:r>
          </w:p>
        </w:tc>
        <w:tc>
          <w:tcPr>
            <w:tcW w:type="dxa" w:w="2153"/>
            <w:shd w:fill="0F7A9A"/>
          </w:tcPr>
          <w:p>
            <w:r>
              <w:rPr>
                <w:b/>
                <w:color w:val="FFFFFF"/>
                <w:sz w:val="20"/>
              </w:rPr>
              <w:t>Date réalisée</w:t>
            </w:r>
          </w:p>
        </w:tc>
        <w:tc>
          <w:tcPr>
            <w:tcW w:type="dxa" w:w="2153"/>
            <w:shd w:fill="0F7A9A"/>
          </w:tcPr>
          <w:p>
            <w:r>
              <w:rPr>
                <w:b/>
                <w:color w:val="FFFFFF"/>
                <w:sz w:val="20"/>
              </w:rPr>
              <w:t>Statut</w:t>
            </w:r>
          </w:p>
        </w:tc>
        <w:tc>
          <w:tcPr>
            <w:tcW w:type="dxa" w:w="2153"/>
            <w:shd w:fill="0F7A9A"/>
          </w:tcPr>
          <w:p>
            <w:r>
              <w:rPr>
                <w:b/>
                <w:color w:val="FFFFFF"/>
                <w:sz w:val="20"/>
              </w:rPr>
              <w:t>Commentaires</w:t>
            </w:r>
          </w:p>
        </w:tc>
      </w:tr>
      <w:tr>
        <w:tc>
          <w:tcPr>
            <w:tcW w:type="dxa" w:w="2153"/>
          </w:tcPr>
          <w:p>
            <w:r>
              <w:t>Validation budget</w:t>
            </w:r>
          </w:p>
        </w:tc>
        <w:tc>
          <w:tcPr>
            <w:tcW w:type="dxa" w:w="2153"/>
          </w:tcPr>
          <w:p>
            <w:r>
              <w:t>03/01/2026</w:t>
            </w:r>
          </w:p>
        </w:tc>
        <w:tc>
          <w:tcPr>
            <w:tcW w:type="dxa" w:w="2153"/>
          </w:tcPr>
          <w:p>
            <w:r>
              <w:t>03/01/2026</w:t>
            </w:r>
          </w:p>
        </w:tc>
        <w:tc>
          <w:tcPr>
            <w:tcW w:type="dxa" w:w="2153"/>
          </w:tcPr>
          <w:p>
            <w:r>
              <w:t>Validé</w:t>
            </w:r>
          </w:p>
        </w:tc>
        <w:tc>
          <w:tcPr>
            <w:tcW w:type="dxa" w:w="2153"/>
          </w:tcPr>
          <w:p>
            <w:r>
              <w:t>Budget approuvé</w:t>
            </w:r>
          </w:p>
        </w:tc>
      </w:tr>
      <w:tr>
        <w:tc>
          <w:tcPr>
            <w:tcW w:type="dxa" w:w="2153"/>
          </w:tcPr>
          <w:p>
            <w:r>
              <w:t>Lancement phase pilote</w:t>
            </w:r>
          </w:p>
        </w:tc>
        <w:tc>
          <w:tcPr>
            <w:tcW w:type="dxa" w:w="2153"/>
          </w:tcPr>
          <w:p>
            <w:r>
              <w:t>10/01/2026</w:t>
            </w:r>
          </w:p>
        </w:tc>
        <w:tc>
          <w:tcPr>
            <w:tcW w:type="dxa" w:w="2153"/>
          </w:tcPr>
          <w:p>
            <w:r>
              <w:t>12/01/2026</w:t>
            </w:r>
          </w:p>
        </w:tc>
        <w:tc>
          <w:tcPr>
            <w:tcW w:type="dxa" w:w="2153"/>
          </w:tcPr>
          <w:p>
            <w:r>
              <w:t>Décalé</w:t>
            </w:r>
          </w:p>
        </w:tc>
        <w:tc>
          <w:tcPr>
            <w:tcW w:type="dxa" w:w="2153"/>
          </w:tcPr>
          <w:p>
            <w:r>
              <w:t>Retard fournisseur</w:t>
            </w:r>
          </w:p>
        </w:tc>
      </w:tr>
      <w:tr>
        <w:tc>
          <w:tcPr>
            <w:tcW w:type="dxa" w:w="2153"/>
          </w:tcPr>
          <w:p>
            <w:r>
              <w:t>Formation équipes</w:t>
            </w:r>
          </w:p>
        </w:tc>
        <w:tc>
          <w:tcPr>
            <w:tcW w:type="dxa" w:w="2153"/>
          </w:tcPr>
          <w:p>
            <w:r>
              <w:t>18/01/2026</w:t>
            </w:r>
          </w:p>
        </w:tc>
        <w:tc>
          <w:tcPr>
            <w:tcW w:type="dxa" w:w="2153"/>
          </w:tcPr>
          <w:p>
            <w:r>
              <w:t>18/01/2026</w:t>
            </w:r>
          </w:p>
        </w:tc>
        <w:tc>
          <w:tcPr>
            <w:tcW w:type="dxa" w:w="2153"/>
          </w:tcPr>
          <w:p>
            <w:r>
              <w:t>Terminé</w:t>
            </w:r>
          </w:p>
        </w:tc>
        <w:tc>
          <w:tcPr>
            <w:tcW w:type="dxa" w:w="2153"/>
          </w:tcPr>
          <w:p>
            <w:r>
              <w:t>Très bonne participation</w:t>
            </w:r>
          </w:p>
        </w:tc>
      </w:tr>
      <w:tr>
        <w:tc>
          <w:tcPr>
            <w:tcW w:type="dxa" w:w="2153"/>
          </w:tcPr>
          <w:p>
            <w:r>
              <w:t>Audit de contrôle</w:t>
            </w:r>
          </w:p>
        </w:tc>
        <w:tc>
          <w:tcPr>
            <w:tcW w:type="dxa" w:w="2153"/>
          </w:tcPr>
          <w:p>
            <w:r>
              <w:t>25/01/2026</w:t>
            </w:r>
          </w:p>
        </w:tc>
        <w:tc>
          <w:tcPr>
            <w:tcW w:type="dxa" w:w="2153"/>
          </w:tcPr>
          <w:p>
            <w:r>
              <w:t>-</w:t>
            </w:r>
          </w:p>
        </w:tc>
        <w:tc>
          <w:tcPr>
            <w:tcW w:type="dxa" w:w="2153"/>
          </w:tcPr>
          <w:p>
            <w:r>
              <w:t>En cours</w:t>
            </w:r>
          </w:p>
        </w:tc>
        <w:tc>
          <w:tcPr>
            <w:tcW w:type="dxa" w:w="2153"/>
          </w:tcPr>
          <w:p>
            <w:r>
              <w:t>Préparation documentaire</w:t>
            </w:r>
          </w:p>
        </w:tc>
      </w:tr>
      <w:tr>
        <w:tc>
          <w:tcPr>
            <w:tcW w:type="dxa" w:w="2153"/>
          </w:tcPr>
          <w:p>
            <w:r>
              <w:t>Déploiement final</w:t>
            </w:r>
          </w:p>
        </w:tc>
        <w:tc>
          <w:tcPr>
            <w:tcW w:type="dxa" w:w="2153"/>
          </w:tcPr>
          <w:p>
            <w:r>
              <w:t>10/02/2026</w:t>
            </w:r>
          </w:p>
        </w:tc>
        <w:tc>
          <w:tcPr>
            <w:tcW w:type="dxa" w:w="2153"/>
          </w:tcPr>
          <w:p>
            <w:r>
              <w:t>-</w:t>
            </w:r>
          </w:p>
        </w:tc>
        <w:tc>
          <w:tcPr>
            <w:tcW w:type="dxa" w:w="2153"/>
          </w:tcPr>
          <w:p>
            <w:r>
              <w:t>À venir</w:t>
            </w:r>
          </w:p>
        </w:tc>
        <w:tc>
          <w:tcPr>
            <w:tcW w:type="dxa" w:w="2153"/>
          </w:tcPr>
          <w:p>
            <w:r>
              <w:t>Planification confirmée</w:t>
            </w:r>
          </w:p>
        </w:tc>
      </w:tr>
    </w:tbl>
    <w:p/>
    <w:p>
      <w:r>
        <w:rPr>
          <w:b/>
          <w:color w:val="FFFFFF"/>
          <w:sz w:val="30"/>
        </w:rPr>
        <w:t>6  CONCLUSION GÉNÉRALE</w:t>
      </w:r>
    </w:p>
    <w:p>
      <w:r>
        <w:t>Les résultats observés durant cette période traduisent une amélioration progressive des performances opérationnelles et de la coordination des équipes. Plusieurs axes d’optimisation restent prioritaires, notamment la maîtrise des coûts, la disponibilité des équipements et l’automatisation du reporting. Les actions engagées devraient permettre de renforcer la stabilité opérationnelle et la qualité du pilotage au cours des prochains mois.</w:t>
      </w:r>
    </w:p>
    <w:p/>
    <w:tbl>
      <w:tblPr>
        <w:tblStyle w:val="TableGrid"/>
        <w:tblW w:type="auto" w:w="0"/>
        <w:tblLook w:firstColumn="1" w:firstRow="1" w:lastColumn="0" w:lastRow="0" w:noHBand="0" w:noVBand="1" w:val="04A0"/>
      </w:tblPr>
      <w:tblGrid>
        <w:gridCol w:w="3589"/>
        <w:gridCol w:w="3589"/>
        <w:gridCol w:w="3589"/>
      </w:tblGrid>
      <w:tr>
        <w:tc>
          <w:tcPr>
            <w:tcW w:type="dxa" w:w="3589"/>
            <w:shd w:fill="072455"/>
          </w:tcPr>
          <w:p>
            <w:r>
              <w:rPr>
                <w:b/>
                <w:color w:val="FFFFFF"/>
                <w:sz w:val="20"/>
              </w:rPr>
              <w:t>SIGNÉ PAR</w:t>
            </w:r>
          </w:p>
        </w:tc>
        <w:tc>
          <w:tcPr>
            <w:tcW w:type="dxa" w:w="3589"/>
            <w:shd w:fill="072455"/>
          </w:tcPr>
          <w:p>
            <w:r>
              <w:rPr>
                <w:b/>
                <w:color w:val="FFFFFF"/>
                <w:sz w:val="20"/>
              </w:rPr>
              <w:t>DATE</w:t>
            </w:r>
          </w:p>
        </w:tc>
        <w:tc>
          <w:tcPr>
            <w:tcW w:type="dxa" w:w="3589"/>
            <w:shd w:fill="072455"/>
          </w:tcPr>
          <w:p>
            <w:r>
              <w:rPr>
                <w:b/>
                <w:color w:val="FFFFFF"/>
                <w:sz w:val="20"/>
              </w:rPr>
              <w:t>VALIDATION</w:t>
            </w:r>
          </w:p>
        </w:tc>
      </w:tr>
      <w:tr>
        <w:tc>
          <w:tcPr>
            <w:tcW w:type="dxa" w:w="3589"/>
          </w:tcPr>
          <w:p>
            <w:r>
              <w:t>Jean Dupont</w:t>
            </w:r>
          </w:p>
        </w:tc>
        <w:tc>
          <w:tcPr>
            <w:tcW w:type="dxa" w:w="3589"/>
          </w:tcPr>
          <w:p>
            <w:r>
              <w:t>31/01/2026</w:t>
            </w:r>
          </w:p>
        </w:tc>
        <w:tc>
          <w:tcPr>
            <w:tcW w:type="dxa" w:w="3589"/>
          </w:tcPr>
          <w:p>
            <w:r>
              <w:t>☑ Approuvé</w:t>
            </w:r>
          </w:p>
        </w:tc>
      </w:tr>
    </w:tbl>
    <w:sectPr w:rsidR="00FC693F" w:rsidRPr="0006063C" w:rsidSect="00034616">
      <w:pgSz w:w="12240" w:h="15840"/>
      <w:pgMar w:top="680" w:right="737" w:bottom="680" w:left="73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