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0F2742"/>
          <w:sz w:val="48"/>
        </w:rPr>
        <w:t>FICHE PROCESSUS ISO 9001:2015 – VERSION PRÉREMPLIE</w:t>
      </w:r>
    </w:p>
    <w:p>
      <w:pPr>
        <w:jc w:val="center"/>
      </w:pPr>
      <w:r>
        <w:rPr>
          <w:i/>
          <w:sz w:val="22"/>
        </w:rPr>
        <w:t>Gestion de la satisfaction client – modèle professionnel multicouleurs</w:t>
      </w:r>
    </w:p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438"/>
        <w:gridCol w:w="567"/>
        <w:gridCol w:w="2438"/>
        <w:gridCol w:w="567"/>
        <w:gridCol w:w="2438"/>
        <w:gridCol w:w="567"/>
        <w:gridCol w:w="2438"/>
        <w:gridCol w:w="567"/>
        <w:gridCol w:w="2438"/>
        <w:gridCol w:w="567"/>
        <w:gridCol w:w="2438"/>
      </w:tblGrid>
      <w:tr>
        <w:tc>
          <w:tcPr>
            <w:tcW w:type="dxa" w:w="1337"/>
            <w:shd w:fill="2F64FF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1. COMPRENDRE</w:t>
              <w:br/>
              <w:t>LES BESOINS</w:t>
              <w:br/>
              <w:br/>
            </w:r>
            <w:r>
              <w:rPr>
                <w:color w:val="FFFFFF"/>
                <w:sz w:val="18"/>
              </w:rPr>
              <w:t>Analyse des attentes clients</w:t>
              <w:br/>
              <w:t>Étude des réclamations</w:t>
            </w:r>
          </w:p>
        </w:tc>
        <w:tc>
          <w:tcPr>
            <w:tcW w:type="dxa" w:w="1337"/>
          </w:tcPr>
          <w:p>
            <w:pPr>
              <w:jc w:val="center"/>
            </w:pPr>
            <w:r>
              <w:rPr>
                <w:b/>
                <w:color w:val="787878"/>
                <w:sz w:val="60"/>
              </w:rPr>
              <w:t>➜</w:t>
            </w:r>
          </w:p>
        </w:tc>
        <w:tc>
          <w:tcPr>
            <w:tcW w:type="dxa" w:w="1337"/>
            <w:shd w:fill="1DA1F2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2. PLANIFIER</w:t>
              <w:br/>
              <w:br/>
            </w:r>
            <w:r>
              <w:rPr>
                <w:color w:val="FFFFFF"/>
                <w:sz w:val="18"/>
              </w:rPr>
              <w:t>Définition des objectifs</w:t>
              <w:br/>
              <w:t>Allocation des ressources</w:t>
            </w:r>
          </w:p>
        </w:tc>
        <w:tc>
          <w:tcPr>
            <w:tcW w:type="dxa" w:w="1337"/>
          </w:tcPr>
          <w:p>
            <w:pPr>
              <w:jc w:val="center"/>
            </w:pPr>
            <w:r>
              <w:rPr>
                <w:b/>
                <w:color w:val="787878"/>
                <w:sz w:val="60"/>
              </w:rPr>
              <w:t>➜</w:t>
            </w:r>
          </w:p>
        </w:tc>
        <w:tc>
          <w:tcPr>
            <w:tcW w:type="dxa" w:w="1337"/>
            <w:shd w:fill="22C55E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3. RÉALISER</w:t>
              <w:br/>
              <w:br/>
            </w:r>
            <w:r>
              <w:rPr>
                <w:color w:val="FFFFFF"/>
                <w:sz w:val="18"/>
              </w:rPr>
              <w:t>Production / prestation</w:t>
              <w:br/>
              <w:t>Suivi opérationnel</w:t>
            </w:r>
          </w:p>
        </w:tc>
        <w:tc>
          <w:tcPr>
            <w:tcW w:type="dxa" w:w="1337"/>
          </w:tcPr>
          <w:p>
            <w:pPr>
              <w:jc w:val="center"/>
            </w:pPr>
            <w:r>
              <w:rPr>
                <w:b/>
                <w:color w:val="787878"/>
                <w:sz w:val="60"/>
              </w:rPr>
              <w:t>➜</w:t>
            </w:r>
          </w:p>
        </w:tc>
        <w:tc>
          <w:tcPr>
            <w:tcW w:type="dxa" w:w="1337"/>
            <w:shd w:fill="F4A300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4. CONTRÔLER</w:t>
              <w:br/>
              <w:t>ET VÉRIFIER</w:t>
              <w:br/>
              <w:br/>
            </w:r>
            <w:r>
              <w:rPr>
                <w:color w:val="FFFFFF"/>
                <w:sz w:val="18"/>
              </w:rPr>
              <w:t>Contrôle qualité</w:t>
              <w:br/>
              <w:t>Suivi des indicateurs</w:t>
            </w:r>
          </w:p>
        </w:tc>
        <w:tc>
          <w:tcPr>
            <w:tcW w:type="dxa" w:w="1337"/>
          </w:tcPr>
          <w:p>
            <w:pPr>
              <w:jc w:val="center"/>
            </w:pPr>
            <w:r>
              <w:rPr>
                <w:b/>
                <w:color w:val="787878"/>
                <w:sz w:val="60"/>
              </w:rPr>
              <w:t>➜</w:t>
            </w:r>
          </w:p>
        </w:tc>
        <w:tc>
          <w:tcPr>
            <w:tcW w:type="dxa" w:w="1337"/>
            <w:shd w:fill="FF6B0B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5. TRAITER</w:t>
              <w:br/>
              <w:t>LES ÉCARTS</w:t>
              <w:br/>
              <w:br/>
            </w:r>
            <w:r>
              <w:rPr>
                <w:color w:val="FFFFFF"/>
                <w:sz w:val="18"/>
              </w:rPr>
              <w:t>Analyse des non-conformités</w:t>
              <w:br/>
              <w:t>Traitement SAV</w:t>
            </w:r>
          </w:p>
        </w:tc>
        <w:tc>
          <w:tcPr>
            <w:tcW w:type="dxa" w:w="1337"/>
          </w:tcPr>
          <w:p>
            <w:pPr>
              <w:jc w:val="center"/>
            </w:pPr>
            <w:r>
              <w:rPr>
                <w:b/>
                <w:color w:val="787878"/>
                <w:sz w:val="60"/>
              </w:rPr>
              <w:t>➜</w:t>
            </w:r>
          </w:p>
        </w:tc>
        <w:tc>
          <w:tcPr>
            <w:tcW w:type="dxa" w:w="1337"/>
            <w:shd w:fill="A855F7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6. AMÉLIORER</w:t>
              <w:br/>
              <w:br/>
            </w:r>
            <w:r>
              <w:rPr>
                <w:color w:val="FFFFFF"/>
                <w:sz w:val="18"/>
              </w:rPr>
              <w:t>Actions correctives</w:t>
              <w:br/>
              <w:t>Retour d’expérience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2835"/>
        <w:gridCol w:w="2835"/>
        <w:gridCol w:w="2835"/>
        <w:gridCol w:w="2835"/>
        <w:gridCol w:w="2835"/>
        <w:gridCol w:w="2835"/>
      </w:tblGrid>
      <w:tr>
        <w:tc>
          <w:tcPr>
            <w:tcW w:type="dxa" w:w="2451"/>
            <w:shd w:fill="2F64FF"/>
          </w:tcPr>
          <w:p>
            <w:pPr>
              <w:jc w:val="left"/>
            </w:pPr>
            <w:r>
              <w:rPr>
                <w:b/>
                <w:color w:val="FFFFFF"/>
                <w:sz w:val="22"/>
              </w:rPr>
              <w:t>ÉLÉMENTS D’ENTRÉE</w:t>
              <w:br/>
              <w:br/>
            </w:r>
          </w:p>
          <w:p>
            <w:r>
              <w:rPr>
                <w:color w:val="FFFFFF"/>
                <w:sz w:val="18"/>
              </w:rPr>
              <w:t>• Exigences clients</w:t>
            </w:r>
          </w:p>
          <w:p>
            <w:r>
              <w:rPr>
                <w:color w:val="FFFFFF"/>
                <w:sz w:val="18"/>
              </w:rPr>
              <w:t>• Exigences légales</w:t>
            </w:r>
          </w:p>
          <w:p>
            <w:r>
              <w:rPr>
                <w:color w:val="FFFFFF"/>
                <w:sz w:val="18"/>
              </w:rPr>
              <w:t>• Commandes</w:t>
            </w:r>
          </w:p>
          <w:p>
            <w:r>
              <w:rPr>
                <w:color w:val="FFFFFF"/>
                <w:sz w:val="18"/>
              </w:rPr>
              <w:t>• Réclamations</w:t>
            </w:r>
          </w:p>
        </w:tc>
        <w:tc>
          <w:tcPr>
            <w:tcW w:type="dxa" w:w="2451"/>
            <w:shd w:fill="10B981"/>
          </w:tcPr>
          <w:p>
            <w:pPr>
              <w:jc w:val="left"/>
            </w:pPr>
            <w:r>
              <w:rPr>
                <w:b/>
                <w:color w:val="FFFFFF"/>
                <w:sz w:val="22"/>
              </w:rPr>
              <w:t>RESSOURCES</w:t>
              <w:br/>
              <w:br/>
            </w:r>
          </w:p>
          <w:p>
            <w:r>
              <w:rPr>
                <w:color w:val="FFFFFF"/>
                <w:sz w:val="18"/>
              </w:rPr>
              <w:t>• Ressources humaines</w:t>
            </w:r>
          </w:p>
          <w:p>
            <w:r>
              <w:rPr>
                <w:color w:val="FFFFFF"/>
                <w:sz w:val="18"/>
              </w:rPr>
              <w:t>• Logiciels métier</w:t>
            </w:r>
          </w:p>
          <w:p>
            <w:r>
              <w:rPr>
                <w:color w:val="FFFFFF"/>
                <w:sz w:val="18"/>
              </w:rPr>
              <w:t>• Documentation</w:t>
            </w:r>
          </w:p>
          <w:p>
            <w:r>
              <w:rPr>
                <w:color w:val="FFFFFF"/>
                <w:sz w:val="18"/>
              </w:rPr>
              <w:t>• Infrastructure</w:t>
            </w:r>
          </w:p>
        </w:tc>
        <w:tc>
          <w:tcPr>
            <w:tcW w:type="dxa" w:w="2451"/>
            <w:shd w:fill="EF4444"/>
          </w:tcPr>
          <w:p>
            <w:pPr>
              <w:jc w:val="left"/>
            </w:pPr>
            <w:r>
              <w:rPr>
                <w:b/>
                <w:color w:val="FFFFFF"/>
                <w:sz w:val="22"/>
              </w:rPr>
              <w:t>INDICATEURS</w:t>
              <w:br/>
              <w:br/>
            </w:r>
          </w:p>
          <w:p>
            <w:r>
              <w:rPr>
                <w:color w:val="FFFFFF"/>
                <w:sz w:val="18"/>
              </w:rPr>
              <w:t>• Satisfaction ≥ 90 %</w:t>
            </w:r>
          </w:p>
          <w:p>
            <w:r>
              <w:rPr>
                <w:color w:val="FFFFFF"/>
                <w:sz w:val="18"/>
              </w:rPr>
              <w:t>• Conformité ≥ 95 %</w:t>
            </w:r>
          </w:p>
          <w:p>
            <w:r>
              <w:rPr>
                <w:color w:val="FFFFFF"/>
                <w:sz w:val="18"/>
              </w:rPr>
              <w:t>• Délai SAV &lt; 5 jours</w:t>
            </w:r>
          </w:p>
          <w:p>
            <w:r>
              <w:rPr>
                <w:color w:val="FFFFFF"/>
                <w:sz w:val="18"/>
              </w:rPr>
              <w:t>• Réclamations ≤ 2 %</w:t>
            </w:r>
          </w:p>
        </w:tc>
        <w:tc>
          <w:tcPr>
            <w:tcW w:type="dxa" w:w="2451"/>
            <w:shd w:fill="F97316"/>
          </w:tcPr>
          <w:p>
            <w:pPr>
              <w:jc w:val="left"/>
            </w:pPr>
            <w:r>
              <w:rPr>
                <w:b/>
                <w:color w:val="FFFFFF"/>
                <w:sz w:val="22"/>
              </w:rPr>
              <w:t>ÉLÉMENTS DE SORTIE</w:t>
              <w:br/>
              <w:br/>
            </w:r>
          </w:p>
          <w:p>
            <w:r>
              <w:rPr>
                <w:color w:val="FFFFFF"/>
                <w:sz w:val="18"/>
              </w:rPr>
              <w:t>• Produits conformes</w:t>
            </w:r>
          </w:p>
          <w:p>
            <w:r>
              <w:rPr>
                <w:color w:val="FFFFFF"/>
                <w:sz w:val="18"/>
              </w:rPr>
              <w:t>• Clients satisfaits</w:t>
            </w:r>
          </w:p>
          <w:p>
            <w:r>
              <w:rPr>
                <w:color w:val="FFFFFF"/>
                <w:sz w:val="18"/>
              </w:rPr>
              <w:t>• Rapports qualité</w:t>
            </w:r>
          </w:p>
          <w:p>
            <w:r>
              <w:rPr>
                <w:color w:val="FFFFFF"/>
                <w:sz w:val="18"/>
              </w:rPr>
              <w:t>• Actions correctives</w:t>
            </w:r>
          </w:p>
        </w:tc>
        <w:tc>
          <w:tcPr>
            <w:tcW w:type="dxa" w:w="2451"/>
            <w:shd w:fill="7C3AED"/>
          </w:tcPr>
          <w:p>
            <w:pPr>
              <w:jc w:val="left"/>
            </w:pPr>
            <w:r>
              <w:rPr>
                <w:b/>
                <w:color w:val="FFFFFF"/>
                <w:sz w:val="22"/>
              </w:rPr>
              <w:t>INTERACTEURS</w:t>
              <w:br/>
              <w:br/>
            </w:r>
          </w:p>
          <w:p>
            <w:r>
              <w:rPr>
                <w:color w:val="FFFFFF"/>
                <w:sz w:val="18"/>
              </w:rPr>
              <w:t>• Clients</w:t>
            </w:r>
          </w:p>
          <w:p>
            <w:r>
              <w:rPr>
                <w:color w:val="FFFFFF"/>
                <w:sz w:val="18"/>
              </w:rPr>
              <w:t>• Production</w:t>
            </w:r>
          </w:p>
          <w:p>
            <w:r>
              <w:rPr>
                <w:color w:val="FFFFFF"/>
                <w:sz w:val="18"/>
              </w:rPr>
              <w:t>• Service qualité</w:t>
            </w:r>
          </w:p>
          <w:p>
            <w:r>
              <w:rPr>
                <w:color w:val="FFFFFF"/>
                <w:sz w:val="18"/>
              </w:rPr>
              <w:t>• Fournisseurs</w:t>
            </w:r>
          </w:p>
        </w:tc>
        <w:tc>
          <w:tcPr>
            <w:tcW w:type="dxa" w:w="2451"/>
            <w:shd w:fill="0EA5E9"/>
          </w:tcPr>
          <w:p>
            <w:pPr>
              <w:jc w:val="left"/>
            </w:pPr>
            <w:r>
              <w:rPr>
                <w:b/>
                <w:color w:val="FFFFFF"/>
                <w:sz w:val="22"/>
              </w:rPr>
              <w:t>DOCUMENTS</w:t>
              <w:br/>
              <w:br/>
            </w:r>
          </w:p>
          <w:p>
            <w:r>
              <w:rPr>
                <w:color w:val="FFFFFF"/>
                <w:sz w:val="18"/>
              </w:rPr>
              <w:t>• Manuel qualité</w:t>
            </w:r>
          </w:p>
          <w:p>
            <w:r>
              <w:rPr>
                <w:color w:val="FFFFFF"/>
                <w:sz w:val="18"/>
              </w:rPr>
              <w:t>• Procédures</w:t>
            </w:r>
          </w:p>
          <w:p>
            <w:r>
              <w:rPr>
                <w:color w:val="FFFFFF"/>
                <w:sz w:val="18"/>
              </w:rPr>
              <w:t>• Instructions</w:t>
            </w:r>
          </w:p>
          <w:p>
            <w:r>
              <w:rPr>
                <w:color w:val="FFFFFF"/>
                <w:sz w:val="18"/>
              </w:rPr>
              <w:t>• Enregistrements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02"/>
        <w:gridCol w:w="4902"/>
        <w:gridCol w:w="4902"/>
      </w:tblGrid>
      <w:tr>
        <w:tc>
          <w:tcPr>
            <w:tcW w:type="dxa" w:w="4902"/>
            <w:shd w:fill="1D4ED8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RISQUES IDENTIFIÉS</w:t>
            </w:r>
          </w:p>
        </w:tc>
        <w:tc>
          <w:tcPr>
            <w:tcW w:type="dxa" w:w="4902"/>
            <w:shd w:fill="16A34A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ACTIONS D’AMÉLIORATION</w:t>
            </w:r>
          </w:p>
        </w:tc>
        <w:tc>
          <w:tcPr>
            <w:tcW w:type="dxa" w:w="4902"/>
            <w:shd w:fill="0EA5E9"/>
          </w:tcPr>
          <w:p>
            <w:pPr>
              <w:jc w:val="center"/>
            </w:pPr>
            <w:r>
              <w:rPr>
                <w:b/>
                <w:color w:val="FFFFFF"/>
                <w:sz w:val="22"/>
              </w:rPr>
              <w:t>APPROBATION</w:t>
            </w:r>
          </w:p>
        </w:tc>
      </w:tr>
      <w:tr>
        <w:tc>
          <w:tcPr>
            <w:tcW w:type="dxa" w:w="4902"/>
          </w:tcPr>
          <w:p>
            <w:r>
              <w:rPr>
                <w:sz w:val="20"/>
              </w:rPr>
              <w:t>Non-conformités</w:t>
              <w:br/>
              <w:t>Retards de livraison</w:t>
              <w:br/>
              <w:t>Insatisfaction client</w:t>
            </w:r>
          </w:p>
        </w:tc>
        <w:tc>
          <w:tcPr>
            <w:tcW w:type="dxa" w:w="4902"/>
          </w:tcPr>
          <w:p>
            <w:r>
              <w:rPr>
                <w:sz w:val="20"/>
              </w:rPr>
              <w:t>Audit interne</w:t>
              <w:br/>
              <w:t>Formation équipes</w:t>
              <w:br/>
              <w:t>Optimisation processus</w:t>
            </w:r>
          </w:p>
        </w:tc>
        <w:tc>
          <w:tcPr>
            <w:tcW w:type="dxa" w:w="4902"/>
          </w:tcPr>
          <w:p>
            <w:r>
              <w:rPr>
                <w:sz w:val="20"/>
              </w:rPr>
              <w:t>Rédigé par : Responsable qualité</w:t>
              <w:br/>
              <w:t>Validé par : Direction</w:t>
            </w:r>
          </w:p>
        </w:tc>
      </w:tr>
    </w:tbl>
    <w:p/>
    <w:p>
      <w:pPr>
        <w:jc w:val="center"/>
      </w:pPr>
      <w:r>
        <w:rPr>
          <w:b/>
          <w:color w:val="991B1B"/>
          <w:sz w:val="20"/>
        </w:rPr>
        <w:t>Version préremplie prête à être adaptée aux processus RH, maintenance, logistique, production ou SAV.</w:t>
      </w:r>
    </w:p>
    <w:sectPr w:rsidR="00FC693F" w:rsidRPr="0006063C" w:rsidSect="00034616">
      <w:pgSz w:w="15840" w:h="12240" w:orient="landscape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