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2400"/>
        <w:jc w:val="center"/>
      </w:pPr>
      <w:r>
        <w:rPr>
          <w:b/>
          <w:sz w:val="56"/>
        </w:rPr>
        <w:t>Rapport d’activité — Projet (PMO)</w:t>
      </w:r>
    </w:p>
    <w:p>
      <w:pPr>
        <w:jc w:val="center"/>
      </w:pPr>
      <w:r>
        <w:rPr>
          <w:color w:val="3C5A96"/>
          <w:sz w:val="28"/>
        </w:rPr>
        <w:t>Suivi d’avancement, jalons &amp; risques — KPIs spécifiés</w:t>
      </w:r>
    </w:p>
    <w:p/>
    <w:p>
      <w:pPr>
        <w:jc w:val="center"/>
      </w:pPr>
      <w:r>
        <w:rPr>
          <w:sz w:val="22"/>
        </w:rPr>
        <w:t>Projet : [Nom du projet]</w:t>
      </w:r>
    </w:p>
    <w:p>
      <w:pPr>
        <w:jc w:val="center"/>
      </w:pPr>
      <w:r>
        <w:rPr>
          <w:sz w:val="22"/>
        </w:rPr>
        <w:t>Période : [Semaine/Mois/Trimestre]</w:t>
      </w:r>
    </w:p>
    <w:p>
      <w:pPr>
        <w:jc w:val="center"/>
      </w:pPr>
      <w:r>
        <w:rPr>
          <w:sz w:val="22"/>
        </w:rPr>
        <w:t>Chef de projet : [Nom]</w:t>
      </w:r>
    </w:p>
    <w:p>
      <w:r>
        <w:br w:type="page"/>
      </w:r>
    </w:p>
    <w:p>
      <w:pPr>
        <w:pStyle w:val="Heading2"/>
      </w:pPr>
      <w:r>
        <w:rPr>
          <w:color w:val="283C78"/>
        </w:rPr>
        <w:t>Résumé exécutif</w:t>
      </w:r>
    </w:p>
    <w:p>
      <w:r>
        <w:t>Faits marquants du cycle, synthèse des résultats et décisions.</w:t>
      </w:r>
    </w:p>
    <w:p>
      <w:pPr>
        <w:pStyle w:val="Heading2"/>
      </w:pPr>
      <w:r>
        <w:rPr>
          <w:color w:val="283C78"/>
        </w:rPr>
        <w:t>Indicateurs clés (KPI) — Spécifications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</w:tcPr>
          <w:p>
            <w:r>
              <w:rPr>
                <w:b/>
              </w:rPr>
              <w:t>KPI</w:t>
            </w:r>
          </w:p>
        </w:tc>
        <w:tc>
          <w:tcPr>
            <w:tcW w:type="dxa" w:w="1994"/>
          </w:tcPr>
          <w:p>
            <w:r>
              <w:rPr>
                <w:b/>
              </w:rPr>
              <w:t>Définition</w:t>
            </w:r>
          </w:p>
        </w:tc>
        <w:tc>
          <w:tcPr>
            <w:tcW w:type="dxa" w:w="1994"/>
          </w:tcPr>
          <w:p>
            <w:r>
              <w:rPr>
                <w:b/>
              </w:rPr>
              <w:t>Cible</w:t>
            </w:r>
          </w:p>
        </w:tc>
        <w:tc>
          <w:tcPr>
            <w:tcW w:type="dxa" w:w="1994"/>
          </w:tcPr>
          <w:p>
            <w:r>
              <w:rPr>
                <w:b/>
              </w:rPr>
              <w:t>Réalisé</w:t>
            </w:r>
          </w:p>
        </w:tc>
        <w:tc>
          <w:tcPr>
            <w:tcW w:type="dxa" w:w="1994"/>
          </w:tcPr>
          <w:p>
            <w:r>
              <w:rPr>
                <w:b/>
              </w:rPr>
              <w:t>Commentaire</w:t>
            </w:r>
          </w:p>
        </w:tc>
      </w:tr>
      <w:tr>
        <w:tc>
          <w:tcPr>
            <w:tcW w:type="dxa" w:w="1994"/>
          </w:tcPr>
          <w:p>
            <w:r>
              <w:t>SPI (Indice performance délais)</w:t>
            </w:r>
          </w:p>
        </w:tc>
        <w:tc>
          <w:tcPr>
            <w:tcW w:type="dxa" w:w="1994"/>
          </w:tcPr>
          <w:p>
            <w:r>
              <w:t>SPI = EV / PV (Valeur acquise / Valeur planifiée)</w:t>
            </w:r>
          </w:p>
        </w:tc>
        <w:tc>
          <w:tcPr>
            <w:tcW w:type="dxa" w:w="1994"/>
          </w:tcPr>
          <w:p>
            <w:r>
              <w:t>≈ 1,00 (0,95–1,05)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CPI (Indice performance coûts)</w:t>
            </w:r>
          </w:p>
        </w:tc>
        <w:tc>
          <w:tcPr>
            <w:tcW w:type="dxa" w:w="1994"/>
          </w:tcPr>
          <w:p>
            <w:r>
              <w:t>CPI = EV / AC (Valeur acquise / Coût réel)</w:t>
            </w:r>
          </w:p>
        </w:tc>
        <w:tc>
          <w:tcPr>
            <w:tcW w:type="dxa" w:w="1994"/>
          </w:tcPr>
          <w:p>
            <w:r>
              <w:t>≥ 1,00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Écart de délai (SV)</w:t>
            </w:r>
          </w:p>
        </w:tc>
        <w:tc>
          <w:tcPr>
            <w:tcW w:type="dxa" w:w="1994"/>
          </w:tcPr>
          <w:p>
            <w:r>
              <w:t>SV = EV − PV</w:t>
            </w:r>
          </w:p>
        </w:tc>
        <w:tc>
          <w:tcPr>
            <w:tcW w:type="dxa" w:w="1994"/>
          </w:tcPr>
          <w:p>
            <w:r>
              <w:t>≥ 0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Écart de coût (CV)</w:t>
            </w:r>
          </w:p>
        </w:tc>
        <w:tc>
          <w:tcPr>
            <w:tcW w:type="dxa" w:w="1994"/>
          </w:tcPr>
          <w:p>
            <w:r>
              <w:t>CV = EV − AC</w:t>
            </w:r>
          </w:p>
        </w:tc>
        <w:tc>
          <w:tcPr>
            <w:tcW w:type="dxa" w:w="1994"/>
          </w:tcPr>
          <w:p>
            <w:r>
              <w:t>≥ 0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Jalons à l’heure (%)</w:t>
            </w:r>
          </w:p>
        </w:tc>
        <w:tc>
          <w:tcPr>
            <w:tcW w:type="dxa" w:w="1994"/>
          </w:tcPr>
          <w:p>
            <w:r>
              <w:t>Jalons respectés / Jalons du cycle</w:t>
            </w:r>
          </w:p>
        </w:tc>
        <w:tc>
          <w:tcPr>
            <w:tcW w:type="dxa" w:w="1994"/>
          </w:tcPr>
          <w:p>
            <w:r>
              <w:t>≥ 95 %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Tâches à l’heure (%)</w:t>
            </w:r>
          </w:p>
        </w:tc>
        <w:tc>
          <w:tcPr>
            <w:tcW w:type="dxa" w:w="1994"/>
          </w:tcPr>
          <w:p>
            <w:r>
              <w:t>Tâches clôturées à échéance / Tâches du cycle</w:t>
            </w:r>
          </w:p>
        </w:tc>
        <w:tc>
          <w:tcPr>
            <w:tcW w:type="dxa" w:w="1994"/>
          </w:tcPr>
          <w:p>
            <w:r>
              <w:t>≥ 90 %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% d’achèvement du périmètre</w:t>
            </w:r>
          </w:p>
        </w:tc>
        <w:tc>
          <w:tcPr>
            <w:tcW w:type="dxa" w:w="1994"/>
          </w:tcPr>
          <w:p>
            <w:r>
              <w:t>Livrables validés / Livrables planifiés</w:t>
            </w:r>
          </w:p>
        </w:tc>
        <w:tc>
          <w:tcPr>
            <w:tcW w:type="dxa" w:w="1994"/>
          </w:tcPr>
          <w:p>
            <w:r>
              <w:t>≥ 90 % (période)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Burn rate (€/période)</w:t>
            </w:r>
          </w:p>
        </w:tc>
        <w:tc>
          <w:tcPr>
            <w:tcW w:type="dxa" w:w="1994"/>
          </w:tcPr>
          <w:p>
            <w:r>
              <w:t>Dépenses réelles par semaine/mois</w:t>
            </w:r>
          </w:p>
        </w:tc>
        <w:tc>
          <w:tcPr>
            <w:tcW w:type="dxa" w:w="1994"/>
          </w:tcPr>
          <w:p>
            <w:r>
              <w:t>≤ budget périodique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Demandes de changement sous SLA (%)</w:t>
            </w:r>
          </w:p>
        </w:tc>
        <w:tc>
          <w:tcPr>
            <w:tcW w:type="dxa" w:w="1994"/>
          </w:tcPr>
          <w:p>
            <w:r>
              <w:t>Changements traités dans le délai cible / Total changements</w:t>
            </w:r>
          </w:p>
        </w:tc>
        <w:tc>
          <w:tcPr>
            <w:tcW w:type="dxa" w:w="1994"/>
          </w:tcPr>
          <w:p>
            <w:r>
              <w:t>≥ 90 %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Exposition au risque (score)</w:t>
            </w:r>
          </w:p>
        </w:tc>
        <w:tc>
          <w:tcPr>
            <w:tcW w:type="dxa" w:w="1994"/>
          </w:tcPr>
          <w:p>
            <w:r>
              <w:t>Σ(probabilité × impact) des risques ouverts</w:t>
            </w:r>
          </w:p>
        </w:tc>
        <w:tc>
          <w:tcPr>
            <w:tcW w:type="dxa" w:w="1994"/>
          </w:tcPr>
          <w:p>
            <w:r>
              <w:t>↘ vs période précédente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Utilisation ressources critiques (%)</w:t>
            </w:r>
          </w:p>
        </w:tc>
        <w:tc>
          <w:tcPr>
            <w:tcW w:type="dxa" w:w="1994"/>
          </w:tcPr>
          <w:p>
            <w:r>
              <w:t>Charge / Capacité des profils clés</w:t>
            </w:r>
          </w:p>
        </w:tc>
        <w:tc>
          <w:tcPr>
            <w:tcW w:type="dxa" w:w="1994"/>
          </w:tcPr>
          <w:p>
            <w:r>
              <w:t>75–85 %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Variance date de fin (j)</w:t>
            </w:r>
          </w:p>
        </w:tc>
        <w:tc>
          <w:tcPr>
            <w:tcW w:type="dxa" w:w="1994"/>
          </w:tcPr>
          <w:p>
            <w:r>
              <w:t>Δ (fin rebasée − fin baseline)</w:t>
            </w:r>
          </w:p>
        </w:tc>
        <w:tc>
          <w:tcPr>
            <w:tcW w:type="dxa" w:w="1994"/>
          </w:tcPr>
          <w:p>
            <w:r>
              <w:t>≤ +5 j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Qualité livrables (défauts / 100 DA)</w:t>
            </w:r>
          </w:p>
        </w:tc>
        <w:tc>
          <w:tcPr>
            <w:tcW w:type="dxa" w:w="1994"/>
          </w:tcPr>
          <w:p>
            <w:r>
              <w:t>Non-conformités détectées par 100 livrables acceptés</w:t>
            </w:r>
          </w:p>
        </w:tc>
        <w:tc>
          <w:tcPr>
            <w:tcW w:type="dxa" w:w="1994"/>
          </w:tcPr>
          <w:p>
            <w:r>
              <w:t>≤ 2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Satisfaction parties prenantes (/10)</w:t>
            </w:r>
          </w:p>
        </w:tc>
        <w:tc>
          <w:tcPr>
            <w:tcW w:type="dxa" w:w="1994"/>
          </w:tcPr>
          <w:p>
            <w:r>
              <w:t>CSAT moyen des parties prenantes clés</w:t>
            </w:r>
          </w:p>
        </w:tc>
        <w:tc>
          <w:tcPr>
            <w:tcW w:type="dxa" w:w="1994"/>
          </w:tcPr>
          <w:p>
            <w:r>
              <w:t>≥ 8,0 / 10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</w:tbl>
    <w:p/>
    <w:p>
      <w:pPr>
        <w:pStyle w:val="Heading2"/>
      </w:pPr>
      <w:r>
        <w:rPr>
          <w:color w:val="283C78"/>
        </w:rPr>
        <w:t>Résumé exécutif</w:t>
      </w:r>
    </w:p>
    <w:p>
      <w:r>
        <w:t>Faits marquants, tendances, décisions.</w:t>
      </w:r>
    </w:p>
    <w:p>
      <w:pPr>
        <w:pStyle w:val="Heading2"/>
      </w:pPr>
      <w:r>
        <w:rPr>
          <w:color w:val="283C78"/>
        </w:rPr>
        <w:t>Activités réalisées</w:t>
      </w:r>
    </w:p>
    <w:p>
      <w:r>
        <w:t>Livrables, jalons atteints, points clés.</w:t>
      </w:r>
    </w:p>
    <w:p>
      <w:pPr>
        <w:pStyle w:val="Heading3"/>
      </w:pPr>
      <w:r>
        <w:rPr>
          <w:color w:val="3C508C"/>
        </w:rPr>
        <w:t>Plan d’actions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25"/>
        <w:gridCol w:w="1425"/>
        <w:gridCol w:w="1425"/>
        <w:gridCol w:w="1425"/>
        <w:gridCol w:w="1425"/>
        <w:gridCol w:w="1425"/>
        <w:gridCol w:w="1425"/>
      </w:tblGrid>
      <w:tr>
        <w:tc>
          <w:tcPr>
            <w:tcW w:type="dxa" w:w="1425"/>
          </w:tcPr>
          <w:p>
            <w:r>
              <w:rPr>
                <w:b/>
              </w:rPr>
              <w:t>Action</w:t>
            </w:r>
          </w:p>
        </w:tc>
        <w:tc>
          <w:tcPr>
            <w:tcW w:type="dxa" w:w="1425"/>
          </w:tcPr>
          <w:p>
            <w:r>
              <w:rPr>
                <w:b/>
              </w:rPr>
              <w:t>Pilote</w:t>
            </w:r>
          </w:p>
        </w:tc>
        <w:tc>
          <w:tcPr>
            <w:tcW w:type="dxa" w:w="1425"/>
          </w:tcPr>
          <w:p>
            <w:r>
              <w:rPr>
                <w:b/>
              </w:rPr>
              <w:t>Priorité</w:t>
            </w:r>
          </w:p>
        </w:tc>
        <w:tc>
          <w:tcPr>
            <w:tcW w:type="dxa" w:w="1425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1425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1425"/>
          </w:tcPr>
          <w:p>
            <w:r>
              <w:rPr>
                <w:b/>
              </w:rPr>
              <w:t>Indicateur</w:t>
            </w:r>
          </w:p>
        </w:tc>
        <w:tc>
          <w:tcPr>
            <w:tcW w:type="dxa" w:w="1425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1425"/>
          </w:tcPr>
          <w:p>
            <w:r>
              <w:t>Ex.: Revoir le process X</w:t>
            </w:r>
          </w:p>
        </w:tc>
        <w:tc>
          <w:tcPr>
            <w:tcW w:type="dxa" w:w="1425"/>
          </w:tcPr>
          <w:p>
            <w:r>
              <w:t>Nom Prénom</w:t>
            </w:r>
          </w:p>
        </w:tc>
        <w:tc>
          <w:tcPr>
            <w:tcW w:type="dxa" w:w="1425"/>
          </w:tcPr>
          <w:p>
            <w:r>
              <w:t>Haute</w:t>
            </w:r>
          </w:p>
        </w:tc>
        <w:tc>
          <w:tcPr>
            <w:tcW w:type="dxa" w:w="1425"/>
          </w:tcPr>
          <w:p>
            <w:r>
              <w:t>JJ/MM/AAAA</w:t>
            </w:r>
          </w:p>
        </w:tc>
        <w:tc>
          <w:tcPr>
            <w:tcW w:type="dxa" w:w="1425"/>
          </w:tcPr>
          <w:p>
            <w:r>
              <w:t>En cours</w:t>
            </w:r>
          </w:p>
        </w:tc>
        <w:tc>
          <w:tcPr>
            <w:tcW w:type="dxa" w:w="1425"/>
          </w:tcPr>
          <w:p>
            <w:r>
              <w:t>KPI associé</w:t>
            </w:r>
          </w:p>
        </w:tc>
        <w:tc>
          <w:tcPr>
            <w:tcW w:type="dxa" w:w="1425"/>
          </w:tcPr>
          <w:p>
            <w:r>
              <w:t>Notes…</w:t>
            </w:r>
          </w:p>
        </w:tc>
      </w:tr>
    </w:tbl>
    <w:p/>
    <w:p>
      <w:pPr>
        <w:pStyle w:val="Heading3"/>
      </w:pPr>
      <w:r>
        <w:rPr>
          <w:color w:val="3C508C"/>
        </w:rPr>
        <w:t>Risques &amp; points de vigilance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</w:tcPr>
          <w:p>
            <w:r>
              <w:rPr>
                <w:b/>
              </w:rPr>
              <w:t>Risque</w:t>
            </w:r>
          </w:p>
        </w:tc>
        <w:tc>
          <w:tcPr>
            <w:tcW w:type="dxa" w:w="1662"/>
          </w:tcPr>
          <w:p>
            <w:r>
              <w:rPr>
                <w:b/>
              </w:rPr>
              <w:t>Prob.</w:t>
            </w:r>
          </w:p>
        </w:tc>
        <w:tc>
          <w:tcPr>
            <w:tcW w:type="dxa" w:w="1662"/>
          </w:tcPr>
          <w:p>
            <w:r>
              <w:rPr>
                <w:b/>
              </w:rPr>
              <w:t>Impact</w:t>
            </w:r>
          </w:p>
        </w:tc>
        <w:tc>
          <w:tcPr>
            <w:tcW w:type="dxa" w:w="1662"/>
          </w:tcPr>
          <w:p>
            <w:r>
              <w:rPr>
                <w:b/>
              </w:rPr>
              <w:t>Niveau</w:t>
            </w:r>
          </w:p>
        </w:tc>
        <w:tc>
          <w:tcPr>
            <w:tcW w:type="dxa" w:w="1662"/>
          </w:tcPr>
          <w:p>
            <w:r>
              <w:rPr>
                <w:b/>
              </w:rPr>
              <w:t>Mesures</w:t>
            </w:r>
          </w:p>
        </w:tc>
        <w:tc>
          <w:tcPr>
            <w:tcW w:type="dxa" w:w="1662"/>
          </w:tcPr>
          <w:p>
            <w:r>
              <w:rPr>
                <w:b/>
              </w:rPr>
              <w:t>Propriétaire</w:t>
            </w:r>
          </w:p>
        </w:tc>
      </w:tr>
      <w:tr>
        <w:tc>
          <w:tcPr>
            <w:tcW w:type="dxa" w:w="1662"/>
          </w:tcPr>
          <w:p>
            <w:r>
              <w:t>Ex.: Retard fournisseur</w:t>
            </w:r>
          </w:p>
        </w:tc>
        <w:tc>
          <w:tcPr>
            <w:tcW w:type="dxa" w:w="1662"/>
          </w:tcPr>
          <w:p>
            <w:r>
              <w:t>Faible/Moyen/Élevé</w:t>
            </w:r>
          </w:p>
        </w:tc>
        <w:tc>
          <w:tcPr>
            <w:tcW w:type="dxa" w:w="1662"/>
          </w:tcPr>
          <w:p>
            <w:r>
              <w:t>Faible/Moyen/Élevé</w:t>
            </w:r>
          </w:p>
        </w:tc>
        <w:tc>
          <w:tcPr>
            <w:tcW w:type="dxa" w:w="1662"/>
          </w:tcPr>
          <w:p>
            <w:r>
              <w:t>Auto (Prob×Impact)</w:t>
            </w:r>
          </w:p>
        </w:tc>
        <w:tc>
          <w:tcPr>
            <w:tcW w:type="dxa" w:w="1662"/>
          </w:tcPr>
          <w:p>
            <w:r>
              <w:t>Plan de mitigation</w:t>
            </w:r>
          </w:p>
        </w:tc>
        <w:tc>
          <w:tcPr>
            <w:tcW w:type="dxa" w:w="1662"/>
          </w:tcPr>
          <w:p>
            <w:r>
              <w:t>Nom Prénom</w:t>
            </w:r>
          </w:p>
        </w:tc>
      </w:tr>
    </w:tbl>
    <w:p/>
    <w:p>
      <w:pPr>
        <w:pStyle w:val="Heading3"/>
      </w:pPr>
      <w:r>
        <w:rPr>
          <w:color w:val="3C508C"/>
        </w:rPr>
        <w:t>Budget &amp; ressources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</w:tcPr>
          <w:p>
            <w:r>
              <w:rPr>
                <w:b/>
              </w:rPr>
              <w:t>Poste</w:t>
            </w:r>
          </w:p>
        </w:tc>
        <w:tc>
          <w:tcPr>
            <w:tcW w:type="dxa" w:w="1994"/>
          </w:tcPr>
          <w:p>
            <w:r>
              <w:rPr>
                <w:b/>
              </w:rPr>
              <w:t>Prévu</w:t>
            </w:r>
          </w:p>
        </w:tc>
        <w:tc>
          <w:tcPr>
            <w:tcW w:type="dxa" w:w="1994"/>
          </w:tcPr>
          <w:p>
            <w:r>
              <w:rPr>
                <w:b/>
              </w:rPr>
              <w:t>Réalisé</w:t>
            </w:r>
          </w:p>
        </w:tc>
        <w:tc>
          <w:tcPr>
            <w:tcW w:type="dxa" w:w="1994"/>
          </w:tcPr>
          <w:p>
            <w:r>
              <w:rPr>
                <w:b/>
              </w:rPr>
              <w:t>Écart</w:t>
            </w:r>
          </w:p>
        </w:tc>
        <w:tc>
          <w:tcPr>
            <w:tcW w:type="dxa" w:w="1994"/>
          </w:tcPr>
          <w:p>
            <w:r>
              <w:rPr>
                <w:b/>
              </w:rPr>
              <w:t>Commentaire</w:t>
            </w:r>
          </w:p>
        </w:tc>
      </w:tr>
      <w:tr>
        <w:tc>
          <w:tcPr>
            <w:tcW w:type="dxa" w:w="1994"/>
          </w:tcPr>
          <w:p>
            <w:r>
              <w:t>Ex.: Achats consommables</w:t>
            </w:r>
          </w:p>
        </w:tc>
        <w:tc>
          <w:tcPr>
            <w:tcW w:type="dxa" w:w="1994"/>
          </w:tcPr>
          <w:p>
            <w:r>
              <w:t>€</w:t>
            </w:r>
          </w:p>
        </w:tc>
        <w:tc>
          <w:tcPr>
            <w:tcW w:type="dxa" w:w="1994"/>
          </w:tcPr>
          <w:p>
            <w:r>
              <w:t>€</w:t>
            </w:r>
          </w:p>
        </w:tc>
        <w:tc>
          <w:tcPr>
            <w:tcW w:type="dxa" w:w="1994"/>
          </w:tcPr>
          <w:p>
            <w:r>
              <w:t>€</w:t>
            </w:r>
          </w:p>
        </w:tc>
        <w:tc>
          <w:tcPr>
            <w:tcW w:type="dxa" w:w="1994"/>
          </w:tcPr>
          <w:p>
            <w:r>
              <w:t>Raison de l’écart…</w:t>
            </w:r>
          </w:p>
        </w:tc>
      </w:tr>
      <w:tr>
        <w:tc>
          <w:tcPr>
            <w:tcW w:type="dxa" w:w="1994"/>
          </w:tcPr>
          <w:p>
            <w:r>
              <w:t>Ressources (ETP/j.h)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Commentaires…</w:t>
            </w:r>
          </w:p>
        </w:tc>
      </w:tr>
    </w:tbl>
    <w:p/>
    <w:p>
      <w:pPr>
        <w:pStyle w:val="Heading2"/>
      </w:pPr>
      <w:r>
        <w:rPr>
          <w:color w:val="283C78"/>
        </w:rPr>
        <w:t>Prochaines étapes</w:t>
      </w:r>
    </w:p>
    <w:p>
      <w:r>
        <w:t>Priorités du prochain cycle.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tabs>
        <w:tab w:pos="9638" w:val="left"/>
      </w:tabs>
      <w:jc w:val="left"/>
    </w:pPr>
    <w:r>
      <w:rPr>
        <w:sz w:val="18"/>
      </w:rPr>
      <w:t xml:space="preserve">lecoursgratuit.com  </w:t>
    </w:r>
    <w:r>
      <w:tab/>
    </w:r>
    <w:r>
      <w:rPr>
        <w:sz w:val="18"/>
      </w:rPr>
      <w:fldChar w:fldCharType="begin"/>
      <w:instrText>PAGE</w:instrText>
      <w:fldChar w:fldCharType="end"/>
    </w:r>
    <w:r>
      <w:t xml:space="preserve"> / </w:t>
    </w:r>
    <w:r>
      <w:rPr>
        <w:sz w:val="18"/>
      </w:rPr>
      <w:fldChar w:fldCharType="begin"/>
      <w:instrText>NUMPAGES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sz w:val="18"/>
      </w:rPr>
      <w:t>Rapport d’activité — Modèle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